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FELENSTEIN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FELDLISTRASSE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Sportradar Group AG</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SRAD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ST. GALLEN   V8</w:t>
            </w:r>
          </w:p>
        </w:tc>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CH-9000</w:t>
            </w: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39,583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243,656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underlying performance share units ("PSUs"), determined to have been earned based on achievement of certain performance metrics pursuant to the terms and conditions of a PSU award that was granted on June 1, 2024 and vested on June 1, 2026, net of shares withheld to satisfy tax withholding obligations of the reporting person in connection with the vesting of such PSUs.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Jason Barr, as Attorney-in-  </w:t>
      </w:r>
      <w:r>
        <w:rPr>
          <w:rFonts w:ascii="Times New Roman" w:cs="Times New Roman" w:eastAsia="Times New Roman" w:hAnsi="Times New Roman"/>
          <w:sz w:val="33"/>
          <w:szCs w:val="33"/>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3568" TargetMode="External"/><Relationship Id="rId14" Type="http://schemas.openxmlformats.org/officeDocument/2006/relationships/hyperlink" Target="http://www.sec.gov/cgi-bin/browse-edgar?action=getcompany&amp;CIK=000183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2026-06-03T16:16:53Z</dcterms:created>
  <dcterms:modified xsi:type="dcterms:W3CDTF">2026-06-03T16:16:53Z</dcterms:modified>
</cp:coreProperties>
</file>