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3145d1_6k.htm"/>
      <w:bookmarkStart w:id="1" w:name="kstm2613145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2026</w:t>
        <w:br/>
        <w:t>Commission File Number: 001-40799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SPORTRADAR GROUP AG</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Feldlistrasse 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CH-9000 St. Gallen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Switzerland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Amended and Restated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Sportradar Group AG (the “Company”) amended its existing €220.0 million revolving credit facility by, among other things, increasing total commitments to €250.0 million (the “RCF”), through an amendment and restatement of its existing credit agreement (as amended and restated, the “Credit Agreement”). There were and continue to be no commitments outstanding under the RCF. The Company’s wholly-owned subsidiary, Sportradar Capital S.à r.l., is the borrower under the Credit Agreement and the obligations are guaranteed by certain other subsidiaries of the Company and secured by certain assets of the borrower and certain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RCF bear interest at a maximum annual rate of EURIBOR (or, as the case may be, Term SOFR or SONIA) plus 2.25% per annum and are subject to a margin ratchet as set out below:</w:t>
      </w:r>
    </w:p>
    <w:p>
      <w:pPr>
        <w:pStyle w:val="TextBody"/>
        <w:bidi w:val="0"/>
        <w:spacing w:before="0" w:after="0"/>
        <w:ind w:left="0" w:right="0" w:hanging="0"/>
        <w:jc w:val="left"/>
        <w:rPr>
          <w:caps w:val="false"/>
          <w:smallCaps w:val="false"/>
        </w:rPr>
      </w:pPr>
      <w:r>
        <w:rPr>
          <w:caps w:val="false"/>
          <w:smallCaps w:val="false"/>
        </w:rPr>
        <w:t> </w:t>
      </w:r>
    </w:p>
    <w:tbl>
      <w:tblPr>
        <w:tblW w:w="6189" w:type="dxa"/>
        <w:jc w:val="center"/>
        <w:tblInd w:w="0" w:type="dxa"/>
        <w:tblLayout w:type="fixed"/>
        <w:tblCellMar>
          <w:top w:w="0" w:type="dxa"/>
          <w:left w:w="0" w:type="dxa"/>
          <w:bottom w:w="28" w:type="dxa"/>
          <w:right w:w="0" w:type="dxa"/>
        </w:tblCellMar>
      </w:tblPr>
      <w:tblGrid>
        <w:gridCol w:w="4655"/>
        <w:gridCol w:w="60"/>
        <w:gridCol w:w="189"/>
        <w:gridCol w:w="1210"/>
        <w:gridCol w:w="75"/>
      </w:tblGrid>
      <w:tr>
        <w:trPr/>
        <w:tc>
          <w:tcPr>
            <w:tcW w:w="46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Secured Net Leverage Ratio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RCF Margin (%</w:t>
              <w:br/>
              <w:t>per annum)</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3.00:1.00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2.00:1.00 but equal to or less than 3.00:1.00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1.00:1.00 but equal to or less than 2.00:1.00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Equal to or less than 1.00:1.00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unutilized RCF, a commitment fee is payable of 0.35% of the available commitments under the RCF. The applicable margin for the RCF is currently 1.50% per annum and is determined based on the senior secured net leverage ratio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contains customary covenants that, among other things, restrict the borrower’s and its subsidiaries’ ability to (i) incur indebtedness, (ii) create liens, (iii) engage in mergers or consolidations, (iv) make investments, loans and advances, (v) pay dividends and distributions and repurchase capital stock, (vi) sell assets and subsidiary stock, (vii) engage in certain transactions with affiliates, and (viii) make prepayments on junior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above covenants may be suspended upon the satisfaction of customary release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also contains, solely for the benefit of the RCF lenders, a springing financial covenant that requires the borrower to ensure that the senior secured net leverage ratio will not exceed 6.50:1. Additionally, the Credit Agreement contains certain customary representations and warranties, affirmative covenants and events of default. If an event of default occurs, the lenders are entitled to take various actions, including the acceleration of amounts due and the exercise of the available remedies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hereby incorporated by reference into the Company’s Registration Statements on Form S-8 (File No. 333-259885) and Form F-3 (File No. 333-286679),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p>
      <w:pPr>
        <w:pStyle w:val="TextBody"/>
        <w:bidi w:val="0"/>
        <w:spacing w:before="0" w:after="0"/>
        <w:ind w:left="0" w:right="0" w:hanging="0"/>
        <w:jc w:val="left"/>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75"/>
        <w:gridCol w:w="627"/>
        <w:gridCol w:w="1792"/>
      </w:tblGrid>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SPORTRADAR GROUP AG</w:t>
            </w:r>
          </w:p>
        </w:tc>
      </w:tr>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9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C. Miller</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rFonts w:ascii="Times New Roman;Times;Serif" w:hAnsi="Times New Roman;Times;Serif"/>
                <w:sz w:val="20"/>
              </w:rPr>
              <w:t>Name:</w:t>
            </w:r>
            <w:r>
              <w:rPr/>
              <w:t> </w:t>
            </w:r>
          </w:p>
        </w:tc>
        <w:tc>
          <w:tcPr>
            <w:tcW w:w="17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Michael C. Miller </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3242</Characters>
  <CharactersWithSpaces>3871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