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001-40799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SPORTRADAR GROUP AG</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Feldlistrasse 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CH-9000 St. Gallen</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Switzerland</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November 17, 2021, Sportradar Group AG issued a press release titled “Sportradar Announces Strong Third Quarter 2021 Financial Results.”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furnished as Exhibit 99.1 herewith.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Press Release of Sportradar Group AG, dated November 17, 2021.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SPORTRADAR GROUP AG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Carsten Koerl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940"/>
          </w:cols>
          <w:pgMar w:left="440" w:top="270"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24599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59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SPORTRADAR ANNOUNCES STRONG THIRD QUARTER 2021 FINANCIAL RESULTS</w:t>
      </w:r>
    </w:p>
    <w:p>
      <w:pPr>
        <w:spacing w:after="0" w:line="229"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color w:val="auto"/>
        </w:rPr>
        <w:t>SANKT GALLEN, Switzerland, November 17, 2021 (GLOBE NEWSWIRE) – Sportradar Group AG (NASDAQ: SRAD) (“Sportradar” or “the Company”), a leading global technology platform enabling next generation engagement in sports, and the number one provider of business-to-business solutions to the global sports betting industry, today announced financial results for its third quarter ended September 30, 2021.</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Third Quarter 2021 Highlights</w:t>
      </w:r>
    </w:p>
    <w:p>
      <w:pPr>
        <w:spacing w:after="0" w:line="135" w:lineRule="exact"/>
        <w:rPr>
          <w:sz w:val="20"/>
          <w:szCs w:val="20"/>
          <w:color w:val="auto"/>
        </w:rPr>
      </w:pPr>
    </w:p>
    <w:p>
      <w:pPr>
        <w:ind w:left="964" w:right="22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in the third quarter of 2021 increased 30% compared to the third quarter of 2020 to €136.8 million ($158.7 million)</w:t>
      </w:r>
      <w:r>
        <w:rPr>
          <w:rFonts w:ascii="Arial" w:cs="Arial" w:eastAsia="Arial" w:hAnsi="Arial"/>
          <w:sz w:val="15"/>
          <w:szCs w:val="15"/>
          <w:color w:val="auto"/>
        </w:rPr>
        <w:t>1</w:t>
      </w:r>
      <w:r>
        <w:rPr>
          <w:rFonts w:ascii="Arial" w:cs="Arial" w:eastAsia="Arial" w:hAnsi="Arial"/>
          <w:sz w:val="18"/>
          <w:szCs w:val="18"/>
          <w:color w:val="auto"/>
        </w:rPr>
        <w:t>, driven by robust growth across all geographies and business segments</w:t>
      </w:r>
    </w:p>
    <w:p>
      <w:pPr>
        <w:spacing w:after="0" w:line="75" w:lineRule="exact"/>
        <w:rPr>
          <w:rFonts w:ascii="Arial" w:cs="Arial" w:eastAsia="Arial" w:hAnsi="Arial"/>
          <w:sz w:val="18"/>
          <w:szCs w:val="18"/>
          <w:color w:val="auto"/>
        </w:rPr>
      </w:pPr>
    </w:p>
    <w:p>
      <w:pPr>
        <w:ind w:left="964" w:right="100" w:hanging="424"/>
        <w:spacing w:after="0" w:line="308" w:lineRule="auto"/>
        <w:tabs>
          <w:tab w:leader="none" w:pos="964"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strong performance in the U.S. market with U.S. revenue in the third quarter of 2021 increasing by 119% compared to the third quarter of 2020. For the nine months ended September 30, 2021 the U.S. revenue reached €48.5 million ($56.3 million)</w:t>
      </w:r>
      <w:r>
        <w:rPr>
          <w:rFonts w:ascii="Arial" w:cs="Arial" w:eastAsia="Arial" w:hAnsi="Arial"/>
          <w:sz w:val="14"/>
          <w:szCs w:val="14"/>
          <w:color w:val="auto"/>
        </w:rPr>
        <w:t>1</w:t>
      </w:r>
    </w:p>
    <w:p>
      <w:pPr>
        <w:spacing w:after="0" w:line="51" w:lineRule="exact"/>
        <w:rPr>
          <w:rFonts w:ascii="Arial" w:cs="Arial" w:eastAsia="Arial" w:hAnsi="Arial"/>
          <w:sz w:val="17"/>
          <w:szCs w:val="17"/>
          <w:color w:val="auto"/>
        </w:rPr>
      </w:pPr>
    </w:p>
    <w:p>
      <w:pPr>
        <w:ind w:left="964" w:hanging="424"/>
        <w:spacing w:after="0"/>
        <w:tabs>
          <w:tab w:leader="none" w:pos="964" w:val="left"/>
        </w:tabs>
        <w:numPr>
          <w:ilvl w:val="0"/>
          <w:numId w:val="1"/>
        </w:numPr>
        <w:rPr>
          <w:rFonts w:ascii="Arial" w:cs="Arial" w:eastAsia="Arial" w:hAnsi="Arial"/>
          <w:sz w:val="17"/>
          <w:szCs w:val="17"/>
          <w:color w:val="auto"/>
        </w:rPr>
      </w:pPr>
      <w:r>
        <w:rPr>
          <w:rFonts w:ascii="Arial" w:cs="Arial" w:eastAsia="Arial" w:hAnsi="Arial"/>
          <w:sz w:val="17"/>
          <w:szCs w:val="17"/>
          <w:color w:val="auto"/>
        </w:rPr>
        <w:t>Adjusted EBITDA* in the third quarter of 2021 was up 21% compared to the third quarter of 2020 to €20.9 million ($24.2 million)</w:t>
      </w:r>
      <w:r>
        <w:rPr>
          <w:rFonts w:ascii="Arial" w:cs="Arial" w:eastAsia="Arial" w:hAnsi="Arial"/>
          <w:sz w:val="14"/>
          <w:szCs w:val="14"/>
          <w:color w:val="auto"/>
        </w:rPr>
        <w:t>1</w:t>
      </w:r>
    </w:p>
    <w:p>
      <w:pPr>
        <w:spacing w:after="0" w:line="142" w:lineRule="exact"/>
        <w:rPr>
          <w:rFonts w:ascii="Arial" w:cs="Arial" w:eastAsia="Arial" w:hAnsi="Arial"/>
          <w:sz w:val="17"/>
          <w:szCs w:val="17"/>
          <w:color w:val="auto"/>
        </w:rPr>
      </w:pPr>
    </w:p>
    <w:p>
      <w:pPr>
        <w:ind w:left="964" w:right="8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Dollar-Based Net Retention Rate* of 128% at the end of third quarter of 2021, underscoring the continued success of our cross-sell and upsell strategy</w:t>
      </w:r>
    </w:p>
    <w:p>
      <w:pPr>
        <w:spacing w:after="0" w:line="75" w:lineRule="exact"/>
        <w:rPr>
          <w:rFonts w:ascii="Arial" w:cs="Arial" w:eastAsia="Arial" w:hAnsi="Arial"/>
          <w:sz w:val="18"/>
          <w:szCs w:val="18"/>
          <w:color w:val="auto"/>
        </w:rPr>
      </w:pPr>
    </w:p>
    <w:p>
      <w:pPr>
        <w:ind w:left="964" w:right="24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extended our partnership through 2028 with FanDuel Group, a leader in the U.S. sports betting market, covering pre-match betting services, live betting services, and betting entertainment tools</w:t>
      </w:r>
    </w:p>
    <w:p>
      <w:pPr>
        <w:spacing w:after="0" w:line="75" w:lineRule="exact"/>
        <w:rPr>
          <w:rFonts w:ascii="Arial" w:cs="Arial" w:eastAsia="Arial" w:hAnsi="Arial"/>
          <w:sz w:val="18"/>
          <w:szCs w:val="18"/>
          <w:color w:val="auto"/>
        </w:rPr>
      </w:pPr>
    </w:p>
    <w:p>
      <w:pPr>
        <w:ind w:left="964" w:right="10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successful listing on Nasdaq, raising €546 million of primary net proceeds to fund continued growth in the business, providing the Company with €878 million to continue to invest in global growth</w:t>
      </w:r>
    </w:p>
    <w:p>
      <w:pPr>
        <w:spacing w:after="0" w:line="75" w:lineRule="exact"/>
        <w:rPr>
          <w:rFonts w:ascii="Arial" w:cs="Arial" w:eastAsia="Arial" w:hAnsi="Arial"/>
          <w:sz w:val="18"/>
          <w:szCs w:val="18"/>
          <w:color w:val="auto"/>
        </w:rPr>
      </w:pPr>
    </w:p>
    <w:p>
      <w:pPr>
        <w:ind w:left="964" w:right="12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full-year 2021, we expect revenue to be in the range of €553 to €555 ($641 to $644)</w:t>
      </w:r>
      <w:r>
        <w:rPr>
          <w:rFonts w:ascii="Arial" w:cs="Arial" w:eastAsia="Arial" w:hAnsi="Arial"/>
          <w:sz w:val="15"/>
          <w:szCs w:val="15"/>
          <w:color w:val="auto"/>
        </w:rPr>
        <w:t>1</w:t>
      </w:r>
      <w:r>
        <w:rPr>
          <w:rFonts w:ascii="Arial" w:cs="Arial" w:eastAsia="Arial" w:hAnsi="Arial"/>
          <w:sz w:val="18"/>
          <w:szCs w:val="18"/>
          <w:color w:val="auto"/>
        </w:rPr>
        <w:t xml:space="preserve"> million and Adjusted EBITDA* in the range of €99.5 to 101.5 ($115.4 to $117.7)</w:t>
      </w:r>
      <w:r>
        <w:rPr>
          <w:rFonts w:ascii="Arial" w:cs="Arial" w:eastAsia="Arial" w:hAnsi="Arial"/>
          <w:sz w:val="15"/>
          <w:szCs w:val="15"/>
          <w:color w:val="auto"/>
        </w:rPr>
        <w:t>1</w:t>
      </w:r>
      <w:r>
        <w:rPr>
          <w:rFonts w:ascii="Arial" w:cs="Arial" w:eastAsia="Arial" w:hAnsi="Arial"/>
          <w:sz w:val="18"/>
          <w:szCs w:val="18"/>
          <w:color w:val="auto"/>
        </w:rPr>
        <w:t xml:space="preserve"> million.</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Q3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Q3</w:t>
            </w: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Change</w:t>
            </w:r>
          </w:p>
        </w:tc>
      </w:t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105.3</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2200" w:type="dxa"/>
            <w:vAlign w:val="bottom"/>
            <w:gridSpan w:val="2"/>
          </w:tcPr>
          <w:p>
            <w:pPr>
              <w:ind w:left="21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Flow Conversion*</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right="80" w:hanging="224"/>
        <w:spacing w:after="0" w:line="258" w:lineRule="auto"/>
        <w:tabs>
          <w:tab w:leader="none" w:pos="224" w:val="left"/>
        </w:tabs>
        <w:numPr>
          <w:ilvl w:val="0"/>
          <w:numId w:val="2"/>
        </w:numPr>
        <w:rPr>
          <w:rFonts w:ascii="Arial" w:cs="Arial" w:eastAsia="Arial" w:hAnsi="Arial"/>
          <w:sz w:val="15"/>
          <w:szCs w:val="15"/>
          <w:color w:val="auto"/>
        </w:rPr>
      </w:pPr>
      <w:r>
        <w:rPr>
          <w:rFonts w:ascii="Arial" w:cs="Arial" w:eastAsia="Arial" w:hAnsi="Arial"/>
          <w:sz w:val="18"/>
          <w:szCs w:val="18"/>
          <w:color w:val="auto"/>
        </w:rPr>
        <w:t>For the convenience of the reader, we have translated Euros amounts in the tables below at the noon buying rate of the Federal Reserve Bank of New York on September 30, 2021, which was €1.00 to $1.16.</w:t>
      </w:r>
    </w:p>
    <w:p>
      <w:pPr>
        <w:ind w:left="224" w:right="440" w:hanging="224"/>
        <w:spacing w:after="0" w:line="262" w:lineRule="auto"/>
        <w:tabs>
          <w:tab w:leader="none" w:pos="224" w:val="left"/>
        </w:tabs>
        <w:numPr>
          <w:ilvl w:val="0"/>
          <w:numId w:val="3"/>
        </w:numPr>
        <w:rPr>
          <w:rFonts w:ascii="Arial" w:cs="Arial" w:eastAsia="Arial" w:hAnsi="Arial"/>
          <w:sz w:val="15"/>
          <w:szCs w:val="15"/>
          <w:color w:val="auto"/>
        </w:rPr>
      </w:pPr>
      <w:r>
        <w:rPr>
          <w:rFonts w:ascii="Arial" w:cs="Arial" w:eastAsia="Arial" w:hAnsi="Arial"/>
          <w:sz w:val="18"/>
          <w:szCs w:val="18"/>
          <w:color w:val="auto"/>
        </w:rPr>
        <w:t>Non-IFRS financial measure; see “Non-IFRS Financial Measures and Operating Metrics” and accompanying tables for further explanations and reconciliations of non-IFRS measures to IFRS measures.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4"/>
          </w:cols>
          <w:pgMar w:left="436" w:top="121" w:right="439" w:bottom="1440" w:gutter="0" w:footer="0" w:header="0"/>
        </w:sectPr>
      </w:pPr>
    </w:p>
    <w:bookmarkStart w:id="4" w:name="page5"/>
    <w:bookmarkEnd w:id="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Carsten Koerl, Chief Executive Officer of Sportradar said: “Our strong results demonstrate the value we provide to our partners and customers around the world. We are the largest provider of sports intelligence in the world and the only profitable global sports technology platform of scale. Critically, we believe we are also the most innovative in developing technology solutions that enable our league customers, media and betting partners to use our ever-increasing data to attract and engage sports fans.”</w:t>
      </w:r>
    </w:p>
    <w:p>
      <w:pPr>
        <w:spacing w:after="0" w:line="187"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Koerl continued, “We plan to continue to make significant investments, particularly in the U.S. The U.S. represents the primary area of focus to execute on our strategic growth plans, as the U.S. region is currently only 7 percent of our group revenues, representing a significant potential business opportunity as more states legalize betting and the market expands from $1 billion in 2019 to an estimated $23 billion in the next 10 years. Our recent Nasdaq listing in the U.S. was a tremendous milestone for our team, and we look forward to building on our success in a multitude of areas in the years ahead.”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Highlights for the Three Months Ended September 30, 2021</w:t>
      </w:r>
    </w:p>
    <w:p>
      <w:pPr>
        <w:spacing w:after="0" w:line="131" w:lineRule="exact"/>
        <w:rPr>
          <w:sz w:val="20"/>
          <w:szCs w:val="20"/>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 the third quarter of 2021 increased by 30% compared to the third quarter of 2020 to €136.8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 the third quarter of 2021 increased by 21% compared to the third quarter of 2020 to €20.9 million</w:t>
      </w:r>
    </w:p>
    <w:p>
      <w:pPr>
        <w:spacing w:after="0" w:line="130" w:lineRule="exact"/>
        <w:rPr>
          <w:rFonts w:ascii="Arial" w:cs="Arial" w:eastAsia="Arial" w:hAnsi="Arial"/>
          <w:sz w:val="18"/>
          <w:szCs w:val="18"/>
          <w:color w:val="auto"/>
        </w:rPr>
      </w:pPr>
    </w:p>
    <w:p>
      <w:pPr>
        <w:ind w:left="964" w:hanging="424"/>
        <w:spacing w:after="0" w:line="289" w:lineRule="auto"/>
        <w:tabs>
          <w:tab w:leader="none" w:pos="964"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Adjusted EBITDA margin* </w:t>
      </w:r>
      <w:r>
        <w:rPr>
          <w:rFonts w:ascii="Arial" w:cs="Arial" w:eastAsia="Arial" w:hAnsi="Arial"/>
          <w:sz w:val="17"/>
          <w:szCs w:val="17"/>
          <w:color w:val="auto"/>
        </w:rPr>
        <w:t>remains strong at 15% in the third quarter of 2021, a slight decrease compared to the third quarter 2020 due</w:t>
      </w:r>
      <w:r>
        <w:rPr>
          <w:rFonts w:ascii="Arial" w:cs="Arial" w:eastAsia="Arial" w:hAnsi="Arial"/>
          <w:sz w:val="17"/>
          <w:szCs w:val="17"/>
          <w:b w:val="1"/>
          <w:bCs w:val="1"/>
          <w:color w:val="auto"/>
        </w:rPr>
        <w:t xml:space="preserve"> </w:t>
      </w:r>
      <w:r>
        <w:rPr>
          <w:rFonts w:ascii="Arial" w:cs="Arial" w:eastAsia="Arial" w:hAnsi="Arial"/>
          <w:sz w:val="17"/>
          <w:szCs w:val="17"/>
          <w:color w:val="auto"/>
        </w:rPr>
        <w:t>to additional IPO costs of approximately €5.7 million which were incurred in the third quarter of 2021. Eliminating the impact of IPO costs would result in an Adjusted EBITDA margin of 20%, illustrating our continuous ability to achieve operating leverage</w:t>
      </w:r>
    </w:p>
    <w:p>
      <w:pPr>
        <w:spacing w:after="0" w:line="63" w:lineRule="exact"/>
        <w:rPr>
          <w:rFonts w:ascii="Arial" w:cs="Arial" w:eastAsia="Arial" w:hAnsi="Arial"/>
          <w:sz w:val="17"/>
          <w:szCs w:val="17"/>
          <w:color w:val="auto"/>
        </w:rPr>
      </w:pPr>
    </w:p>
    <w:p>
      <w:pPr>
        <w:jc w:val="both"/>
        <w:ind w:left="964" w:right="40" w:hanging="424"/>
        <w:spacing w:after="0" w:line="266"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Dollar-Based Net Retention Rate* </w:t>
      </w:r>
      <w:r>
        <w:rPr>
          <w:rFonts w:ascii="Arial" w:cs="Arial" w:eastAsia="Arial" w:hAnsi="Arial"/>
          <w:sz w:val="18"/>
          <w:szCs w:val="18"/>
          <w:color w:val="auto"/>
        </w:rPr>
        <w:t>increased from 114% to 128% for the comparable twelve month period ending at September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2021 demonstrating continued execution of our upsell and cross-sell strategy and underscoring the quality of the products and services we provide our customers</w:t>
      </w:r>
    </w:p>
    <w:p>
      <w:pPr>
        <w:spacing w:after="0" w:line="81" w:lineRule="exact"/>
        <w:rPr>
          <w:rFonts w:ascii="Arial" w:cs="Arial" w:eastAsia="Arial" w:hAnsi="Arial"/>
          <w:sz w:val="18"/>
          <w:szCs w:val="18"/>
          <w:color w:val="auto"/>
        </w:rPr>
      </w:pPr>
    </w:p>
    <w:p>
      <w:pPr>
        <w:ind w:left="964" w:right="740" w:hanging="424"/>
        <w:spacing w:after="0" w:line="282"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Adjusted Free Cash Flow* </w:t>
      </w:r>
      <w:r>
        <w:rPr>
          <w:rFonts w:ascii="Arial" w:cs="Arial" w:eastAsia="Arial" w:hAnsi="Arial"/>
          <w:sz w:val="18"/>
          <w:szCs w:val="18"/>
          <w:color w:val="auto"/>
        </w:rPr>
        <w:t>in the third quarter of 2021 increased by 144% to €32.9 million which resulted in a Group Cashflow</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158%</w:t>
      </w:r>
    </w:p>
    <w:p>
      <w:pPr>
        <w:spacing w:after="0" w:line="67" w:lineRule="exact"/>
        <w:rPr>
          <w:rFonts w:ascii="Arial" w:cs="Arial" w:eastAsia="Arial" w:hAnsi="Arial"/>
          <w:sz w:val="18"/>
          <w:szCs w:val="18"/>
          <w:color w:val="auto"/>
        </w:rPr>
      </w:pPr>
    </w:p>
    <w:p>
      <w:pPr>
        <w:ind w:left="964" w:right="220" w:hanging="424"/>
        <w:spacing w:after="0" w:line="282"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totaled €768.4 million as of September 30, 2021. Total liquidity available for use at September 30, 2021, including undrawn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was €878.4 million</w:t>
      </w:r>
    </w:p>
    <w:p>
      <w:pPr>
        <w:spacing w:after="0" w:line="67"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Total Debt </w:t>
      </w:r>
      <w:r>
        <w:rPr>
          <w:rFonts w:ascii="Arial" w:cs="Arial" w:eastAsia="Arial" w:hAnsi="Arial"/>
          <w:sz w:val="18"/>
          <w:szCs w:val="18"/>
          <w:color w:val="auto"/>
        </w:rPr>
        <w:t>at September 30, 2021 was €436.7 million resulting in a net cash position of €331.7 million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RoW Betting</w:t>
      </w:r>
    </w:p>
    <w:p>
      <w:pPr>
        <w:spacing w:after="0" w:line="248" w:lineRule="exact"/>
        <w:rPr>
          <w:sz w:val="20"/>
          <w:szCs w:val="20"/>
          <w:color w:val="auto"/>
        </w:rPr>
      </w:pPr>
    </w:p>
    <w:p>
      <w:pPr>
        <w:ind w:left="964" w:hanging="424"/>
        <w:spacing w:after="0" w:line="289" w:lineRule="auto"/>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Segment revenue </w:t>
      </w:r>
      <w:r>
        <w:rPr>
          <w:rFonts w:ascii="Arial" w:cs="Arial" w:eastAsia="Arial" w:hAnsi="Arial"/>
          <w:sz w:val="17"/>
          <w:szCs w:val="17"/>
          <w:color w:val="auto"/>
        </w:rPr>
        <w:t>in the third quarter of 2021 increased by 24% compared to the third quarter of 2020 to €78.6 million. This growth was</w:t>
      </w:r>
      <w:r>
        <w:rPr>
          <w:rFonts w:ascii="Arial" w:cs="Arial" w:eastAsia="Arial" w:hAnsi="Arial"/>
          <w:sz w:val="17"/>
          <w:szCs w:val="17"/>
          <w:b w:val="1"/>
          <w:bCs w:val="1"/>
          <w:color w:val="auto"/>
        </w:rPr>
        <w:t xml:space="preserve"> </w:t>
      </w:r>
      <w:r>
        <w:rPr>
          <w:rFonts w:ascii="Arial" w:cs="Arial" w:eastAsia="Arial" w:hAnsi="Arial"/>
          <w:sz w:val="17"/>
          <w:szCs w:val="17"/>
          <w:color w:val="auto"/>
        </w:rPr>
        <w:t>driven primarily by uptake in our higher value-add offerings including Managed Betting Services and Live Odds Services, which increased by 63% and 20% respectively, as a result of new customers wins as well as increased turnover</w:t>
      </w:r>
      <w:r>
        <w:rPr>
          <w:rFonts w:ascii="Arial" w:cs="Arial" w:eastAsia="Arial" w:hAnsi="Arial"/>
          <w:sz w:val="14"/>
          <w:szCs w:val="14"/>
          <w:color w:val="auto"/>
        </w:rPr>
        <w:t>2</w:t>
      </w:r>
      <w:r>
        <w:rPr>
          <w:rFonts w:ascii="Arial" w:cs="Arial" w:eastAsia="Arial" w:hAnsi="Arial"/>
          <w:sz w:val="17"/>
          <w:szCs w:val="17"/>
          <w:color w:val="auto"/>
        </w:rPr>
        <w:t xml:space="preserve"> and volume.</w:t>
      </w:r>
    </w:p>
    <w:p>
      <w:pPr>
        <w:spacing w:after="0" w:line="184" w:lineRule="exact"/>
        <w:rPr>
          <w:rFonts w:ascii="Arial" w:cs="Arial" w:eastAsia="Arial" w:hAnsi="Arial"/>
          <w:sz w:val="17"/>
          <w:szCs w:val="17"/>
          <w:color w:val="auto"/>
        </w:rPr>
      </w:pPr>
    </w:p>
    <w:p>
      <w:pPr>
        <w:ind w:left="964" w:right="180" w:hanging="424"/>
        <w:spacing w:after="0" w:line="266"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Segment Adjusted EBITDA* </w:t>
      </w:r>
      <w:r>
        <w:rPr>
          <w:rFonts w:ascii="Arial" w:cs="Arial" w:eastAsia="Arial" w:hAnsi="Arial"/>
          <w:sz w:val="18"/>
          <w:szCs w:val="18"/>
          <w:color w:val="auto"/>
        </w:rPr>
        <w:t>in the third quarter of 2021 increased by 36% compared to the third quarter of 2020 to €44.7 million. The</w:t>
      </w:r>
      <w:r>
        <w:rPr>
          <w:rFonts w:ascii="Arial" w:cs="Arial" w:eastAsia="Arial" w:hAnsi="Arial"/>
          <w:sz w:val="18"/>
          <w:szCs w:val="18"/>
          <w:b w:val="1"/>
          <w:bCs w:val="1"/>
          <w:color w:val="auto"/>
        </w:rPr>
        <w:t xml:space="preserve"> Segment Adjusted EBITDA margin* </w:t>
      </w:r>
      <w:r>
        <w:rPr>
          <w:rFonts w:ascii="Arial" w:cs="Arial" w:eastAsia="Arial" w:hAnsi="Arial"/>
          <w:sz w:val="18"/>
          <w:szCs w:val="18"/>
          <w:color w:val="auto"/>
        </w:rPr>
        <w:t>improved from 52% to 57% in the third quarter of 2021 driven by growth in higher margin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Turnover is the total amount of stakes placed and accepted in betting.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4"/>
          </w:cols>
          <w:pgMar w:left="436"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RoW AV</w:t>
      </w:r>
    </w:p>
    <w:p>
      <w:pPr>
        <w:spacing w:after="0" w:line="127" w:lineRule="exact"/>
        <w:rPr>
          <w:sz w:val="20"/>
          <w:szCs w:val="20"/>
          <w:color w:val="auto"/>
        </w:rPr>
      </w:pPr>
    </w:p>
    <w:p>
      <w:pPr>
        <w:ind w:left="960" w:right="200" w:hanging="424"/>
        <w:spacing w:after="0" w:line="258"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Segment revenue </w:t>
      </w:r>
      <w:r>
        <w:rPr>
          <w:rFonts w:ascii="Arial" w:cs="Arial" w:eastAsia="Arial" w:hAnsi="Arial"/>
          <w:sz w:val="18"/>
          <w:szCs w:val="18"/>
          <w:color w:val="auto"/>
        </w:rPr>
        <w:t>increased in the third quarter of 2021 by 13% compared to the third quarter of 2020 to €29.0 million. This growth was</w:t>
      </w:r>
      <w:r>
        <w:rPr>
          <w:rFonts w:ascii="Arial" w:cs="Arial" w:eastAsia="Arial" w:hAnsi="Arial"/>
          <w:sz w:val="18"/>
          <w:szCs w:val="18"/>
          <w:b w:val="1"/>
          <w:bCs w:val="1"/>
          <w:color w:val="auto"/>
        </w:rPr>
        <w:t xml:space="preserve"> </w:t>
      </w:r>
      <w:r>
        <w:rPr>
          <w:rFonts w:ascii="Arial" w:cs="Arial" w:eastAsia="Arial" w:hAnsi="Arial"/>
          <w:sz w:val="18"/>
          <w:szCs w:val="18"/>
          <w:color w:val="auto"/>
        </w:rPr>
        <w:t>impacted by COVID related schedule changes in 2020, when more matches than usual were played in Q3 2020. Adjusting for schedule changes Q3 2021 growth was approximately 30%, driven by volume growth as we were able to sell more matches (such as Soccer and Baseball) as well as growth from additional, new content (such as Copa America, Horse Racing and eSports) being sold to existing and new customers.</w:t>
      </w:r>
    </w:p>
    <w:p>
      <w:pPr>
        <w:spacing w:after="0" w:line="88" w:lineRule="exact"/>
        <w:rPr>
          <w:rFonts w:ascii="Arial" w:cs="Arial" w:eastAsia="Arial" w:hAnsi="Arial"/>
          <w:sz w:val="18"/>
          <w:szCs w:val="18"/>
          <w:color w:val="auto"/>
        </w:rPr>
      </w:pPr>
    </w:p>
    <w:p>
      <w:pPr>
        <w:ind w:left="960" w:right="200" w:hanging="424"/>
        <w:spacing w:after="0" w:line="347"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Segment Adjusted EBITDA* </w:t>
      </w:r>
      <w:r>
        <w:rPr>
          <w:rFonts w:ascii="Arial" w:cs="Arial" w:eastAsia="Arial" w:hAnsi="Arial"/>
          <w:sz w:val="16"/>
          <w:szCs w:val="16"/>
          <w:color w:val="auto"/>
        </w:rPr>
        <w:t>in the third quarter of 2021 increased by 220% compared to the third quarter of 2020 to €9.6 million. The</w:t>
      </w:r>
      <w:r>
        <w:rPr>
          <w:rFonts w:ascii="Arial" w:cs="Arial" w:eastAsia="Arial" w:hAnsi="Arial"/>
          <w:sz w:val="16"/>
          <w:szCs w:val="16"/>
          <w:b w:val="1"/>
          <w:bCs w:val="1"/>
          <w:color w:val="auto"/>
        </w:rPr>
        <w:t xml:space="preserve"> Segment Adjusted EBITDA margin* </w:t>
      </w:r>
      <w:r>
        <w:rPr>
          <w:rFonts w:ascii="Arial" w:cs="Arial" w:eastAsia="Arial" w:hAnsi="Arial"/>
          <w:sz w:val="16"/>
          <w:szCs w:val="16"/>
          <w:color w:val="auto"/>
        </w:rPr>
        <w:t>improved from 12% to 33% in the third quarter of 2021 driven by lower cost of some content.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27" w:lineRule="exact"/>
        <w:rPr>
          <w:sz w:val="20"/>
          <w:szCs w:val="20"/>
          <w:color w:val="auto"/>
        </w:rPr>
      </w:pPr>
    </w:p>
    <w:p>
      <w:pPr>
        <w:ind w:left="960" w:right="100" w:hanging="424"/>
        <w:spacing w:after="0" w:line="26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Segment revenue </w:t>
      </w:r>
      <w:r>
        <w:rPr>
          <w:rFonts w:ascii="Arial" w:cs="Arial" w:eastAsia="Arial" w:hAnsi="Arial"/>
          <w:sz w:val="18"/>
          <w:szCs w:val="18"/>
          <w:color w:val="auto"/>
        </w:rPr>
        <w:t>in the third quarter of 2021 increased by 119% compared to the third quarter of 2020 to €19.6 million. This result was</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growth in our US Betting services and increased revenue from our customers as the underlying market and turnover grew. We also experienced strong adoption of our ad:s product, growth in US Media and a positive impact from the acquisition of Synergy Sports in the second quarter of 2021.</w:t>
      </w:r>
    </w:p>
    <w:p>
      <w:pPr>
        <w:spacing w:after="0" w:line="85" w:lineRule="exact"/>
        <w:rPr>
          <w:rFonts w:ascii="Arial" w:cs="Arial" w:eastAsia="Arial" w:hAnsi="Arial"/>
          <w:sz w:val="18"/>
          <w:szCs w:val="18"/>
          <w:color w:val="auto"/>
        </w:rPr>
      </w:pPr>
    </w:p>
    <w:p>
      <w:pPr>
        <w:ind w:left="960" w:right="100" w:hanging="424"/>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Segment Adjusted EBITDA* </w:t>
      </w:r>
      <w:r>
        <w:rPr>
          <w:rFonts w:ascii="Arial" w:cs="Arial" w:eastAsia="Arial" w:hAnsi="Arial"/>
          <w:sz w:val="18"/>
          <w:szCs w:val="18"/>
          <w:color w:val="auto"/>
        </w:rPr>
        <w:t>in the third quarter of 2021 increased by 24% compared to the third quarter of 2020 to -€(6.6) million. The</w:t>
      </w:r>
      <w:r>
        <w:rPr>
          <w:rFonts w:ascii="Arial" w:cs="Arial" w:eastAsia="Arial" w:hAnsi="Arial"/>
          <w:sz w:val="18"/>
          <w:szCs w:val="18"/>
          <w:b w:val="1"/>
          <w:bCs w:val="1"/>
          <w:color w:val="auto"/>
        </w:rPr>
        <w:t xml:space="preserve"> Segment Adjusted EBITDA margin* </w:t>
      </w:r>
      <w:r>
        <w:rPr>
          <w:rFonts w:ascii="Arial" w:cs="Arial" w:eastAsia="Arial" w:hAnsi="Arial"/>
          <w:sz w:val="18"/>
          <w:szCs w:val="18"/>
          <w:color w:val="auto"/>
        </w:rPr>
        <w:t>improved from (-60%) to (-34%) in the third quarter of 2021 which reflects the scalability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clear path to profitability while continuing to invest in the US market.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and Expenses</w:t>
      </w:r>
    </w:p>
    <w:p>
      <w:pPr>
        <w:spacing w:after="0" w:line="131" w:lineRule="exact"/>
        <w:rPr>
          <w:sz w:val="20"/>
          <w:szCs w:val="20"/>
          <w:color w:val="auto"/>
        </w:rPr>
      </w:pPr>
    </w:p>
    <w:p>
      <w:pPr>
        <w:ind w:left="960" w:hanging="424"/>
        <w:spacing w:after="0" w:line="314"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Personnel expenses </w:t>
      </w:r>
      <w:r>
        <w:rPr>
          <w:rFonts w:ascii="Arial" w:cs="Arial" w:eastAsia="Arial" w:hAnsi="Arial"/>
          <w:sz w:val="16"/>
          <w:szCs w:val="16"/>
          <w:color w:val="auto"/>
        </w:rPr>
        <w:t>in the third quarter of 2021 increased by €20.0 million compared to the third quarter of 2020 to €51.3 million resulting</w:t>
      </w:r>
      <w:r>
        <w:rPr>
          <w:rFonts w:ascii="Arial" w:cs="Arial" w:eastAsia="Arial" w:hAnsi="Arial"/>
          <w:sz w:val="16"/>
          <w:szCs w:val="16"/>
          <w:b w:val="1"/>
          <w:bCs w:val="1"/>
          <w:color w:val="auto"/>
        </w:rPr>
        <w:t xml:space="preserve"> </w:t>
      </w:r>
      <w:r>
        <w:rPr>
          <w:rFonts w:ascii="Arial" w:cs="Arial" w:eastAsia="Arial" w:hAnsi="Arial"/>
          <w:sz w:val="16"/>
          <w:szCs w:val="16"/>
          <w:color w:val="auto"/>
        </w:rPr>
        <w:t>from additional hires in new business lines (2.849 FTE in the third quarter of 2021 vs 2.235 FTE in the third quarter of 2020), stock-based compensation, and reversal of temporary COVID 19 cost savings in the third quarter of 2021 compared to the third quarter of 2020.</w:t>
      </w:r>
    </w:p>
    <w:p>
      <w:pPr>
        <w:spacing w:after="0" w:line="47" w:lineRule="exact"/>
        <w:rPr>
          <w:rFonts w:ascii="Arial" w:cs="Arial" w:eastAsia="Arial" w:hAnsi="Arial"/>
          <w:sz w:val="16"/>
          <w:szCs w:val="16"/>
          <w:color w:val="auto"/>
        </w:rPr>
      </w:pPr>
    </w:p>
    <w:p>
      <w:pPr>
        <w:ind w:left="960" w:right="140" w:hanging="424"/>
        <w:spacing w:after="0" w:line="347"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Other Operating expenses </w:t>
      </w:r>
      <w:r>
        <w:rPr>
          <w:rFonts w:ascii="Arial" w:cs="Arial" w:eastAsia="Arial" w:hAnsi="Arial"/>
          <w:sz w:val="16"/>
          <w:szCs w:val="16"/>
          <w:color w:val="auto"/>
        </w:rPr>
        <w:t>in the third quarter of 2021 increased by €15.7 million compared to the third quarter of 2020 to €25.2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mainly driven by incurred costs for IPO, compliance costs relating to operating as a publicly listed company in the US and M&amp;A costs.</w:t>
      </w:r>
    </w:p>
    <w:p>
      <w:pPr>
        <w:spacing w:after="0" w:line="21" w:lineRule="exact"/>
        <w:rPr>
          <w:rFonts w:ascii="Arial" w:cs="Arial" w:eastAsia="Arial" w:hAnsi="Arial"/>
          <w:sz w:val="16"/>
          <w:szCs w:val="16"/>
          <w:color w:val="auto"/>
        </w:rPr>
      </w:pPr>
    </w:p>
    <w:p>
      <w:pPr>
        <w:ind w:left="960" w:right="440" w:hanging="424"/>
        <w:spacing w:after="0" w:line="312"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Total Sport rights costs </w:t>
      </w:r>
      <w:r>
        <w:rPr>
          <w:rFonts w:ascii="Arial" w:cs="Arial" w:eastAsia="Arial" w:hAnsi="Arial"/>
          <w:sz w:val="17"/>
          <w:szCs w:val="17"/>
          <w:color w:val="auto"/>
        </w:rPr>
        <w:t>in the third quarter of 2021 decreased by €9.0 million compared to the third quarter of 2020 to €28.7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fewer major sporting events in the third quarter of 2021 compared to the third quarter of 2020.</w:t>
      </w:r>
    </w:p>
    <w:p>
      <w:pPr>
        <w:spacing w:after="0" w:line="45" w:lineRule="exact"/>
        <w:rPr>
          <w:rFonts w:ascii="Arial" w:cs="Arial" w:eastAsia="Arial" w:hAnsi="Arial"/>
          <w:sz w:val="17"/>
          <w:szCs w:val="17"/>
          <w:color w:val="auto"/>
        </w:rPr>
      </w:pPr>
    </w:p>
    <w:p>
      <w:pPr>
        <w:ind w:left="960" w:right="360" w:hanging="424"/>
        <w:spacing w:after="0" w:line="282"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 the third quarter of 2021 was negatively impacted by IPO costs of €5.7 million. Eliminating this impact would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in an </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of €26.6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35"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Issued and sold 19 million shares in connection with the closing of our IPO on Nasdaq raising €546 million of primary net proceeds</w:t>
      </w:r>
    </w:p>
    <w:p>
      <w:pPr>
        <w:spacing w:after="0" w:line="142" w:lineRule="exact"/>
        <w:rPr>
          <w:rFonts w:ascii="Arial" w:cs="Arial" w:eastAsia="Arial" w:hAnsi="Arial"/>
          <w:sz w:val="17"/>
          <w:szCs w:val="17"/>
          <w:color w:val="auto"/>
        </w:rPr>
      </w:pPr>
    </w:p>
    <w:p>
      <w:pPr>
        <w:ind w:left="960" w:right="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Signed integrity partnerships with leading sports leagues and federations such as cricket’s Tamil Nadu Premier League (TNPL), Badminton Europe and the Austrian Tennis Association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Secured a multi-year exclusive official data and media rights deal with Ligue Nationale de Basket (LNB), France’s top basketball league</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Implemented full Computer Vision models for Grand Slam tennis events including Wimbledon and US open</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Combined newly developed AI tools with our Managed Trading Services, Sportradar’s holistic trading service for sportsbook operators, to more accurately detect potential betting related match-fixing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Announced partnership extension with US market leader FanDuel Group through 2028</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Announced a five-year deal with US betting and iGaming operator, Bally’s Interactive, to help support and grow sportsbook operations in the US</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Celebrated three wins at the EGR B2B Awards in the Best Customer Service and Live Streaming Supplier categories, as well as the recently acquired Fresh Eight being shortlisted for Best Marketing and PR Supplier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full-year 2021, the Company currently expects:</w:t>
      </w:r>
    </w:p>
    <w:p>
      <w:pPr>
        <w:spacing w:after="0" w:line="131" w:lineRule="exact"/>
        <w:rPr>
          <w:sz w:val="20"/>
          <w:szCs w:val="20"/>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in the range of €553 million to €555 million, representing growth of 36.6% to 37.1% for fiscal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in the range of €99.5 million to €101.5 million, representing growth of 29.4% to 32.0% for fiscal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 Information</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Sportradar will host a conference call to discuss the third quarter 2021 financial results on November 17, 2021 at 8:00 a.m. Eastern Time (“ET”). The conference call can be accessed live over the phone by dialing 1-877-423-9813, or for international callers 1-201-689-8573. A replay will be available from 11:00 a.m. ET on November 17, 2021 through November 24, 2021, by dialing 1-844-512-2921, or for international callers 1-412-317-6671. The replay passcode will be 13724560.</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call will also be webcast live from Sportradar’s investor relations website at https://investors.sportradar.com/. Following the completion of the call, a recorded replay of the webcast will be available on the website.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Sportradar</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Sportradar is the leading global sports technology company creating immersive experiences for sports fans and bettors. Established in 2001, the company is well-positioned at the intersection of the sports, media and betting industries, providing sports federations, news media, consumer platforms and sports betting operators with a range of solutions to help grow their business. Sportradar employs more than 2,800 full time employees across 19 countries around the world. It is our commitment to excellent service, quality and reliability that makes us the trusted partner of more than 1,600 customers in over 120 countries and an official partner of the NBA, NHL, MLB, NASCAR, UEFA, FIFA, ICC and ITF. We cover more than 750,000 events annually across 83 sports. With deep industry relationships, Sportradar is not just redefining the sports fan experience; it also safeguards the sports themselves through its Integrity Services division and advocacy for an integrity-driven environment for all involved.</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Sportradar and the Sportradar logo are registered trademarks of Sportradar. All other third-party trademarks and logos contained in this press release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Sandra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sandra.lee@sportradar.com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comms@sportradar.com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 for Sportradar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 Yuen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eyuen@soleburytrout.com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Ankit Hira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ahira@soleburytrout.com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Non-IFRS Financial Measures and Operating Metrics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provided in this press release financial information that has not been prepared in accordance with IFRS, including Adjusted EBITDA, Adjusted EBITDA margin, Adjusted Free Cash Flow and Cash Flow Conversion (together, the “Non-IFRS financial measures”), as well as operating metrics, including Dollar-Based Net Retention Rate.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spacing w:after="0" w:line="16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financial statement tables included below in this press release.</w:t>
      </w:r>
    </w:p>
    <w:p>
      <w:pPr>
        <w:spacing w:after="0" w:line="89" w:lineRule="exact"/>
        <w:rPr>
          <w:sz w:val="20"/>
          <w:szCs w:val="20"/>
          <w:color w:val="auto"/>
        </w:rPr>
      </w:pPr>
    </w:p>
    <w:p>
      <w:pPr>
        <w:ind w:left="960" w:right="180" w:hanging="424"/>
        <w:spacing w:after="0" w:line="286"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represents profit (loss) for the period adjusted for share based compensation,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amortization of sports rights), impairment of intangible assets, other financial assets and equity-accounted investee, loss from loss of control of subsidiary, finance income and finance costs, and income tax (expense) benefit.</w:t>
      </w:r>
    </w:p>
    <w:p>
      <w:pPr>
        <w:spacing w:after="0" w:line="57" w:lineRule="exact"/>
        <w:rPr>
          <w:rFonts w:ascii="Arial" w:cs="Arial" w:eastAsia="Arial" w:hAnsi="Arial"/>
          <w:sz w:val="17"/>
          <w:szCs w:val="17"/>
          <w:color w:val="auto"/>
        </w:rPr>
      </w:pPr>
    </w:p>
    <w:p>
      <w:pPr>
        <w:ind w:left="980"/>
        <w:spacing w:after="0" w:line="269" w:lineRule="auto"/>
        <w:rPr>
          <w:rFonts w:ascii="Arial" w:cs="Arial" w:eastAsia="Arial" w:hAnsi="Arial"/>
          <w:sz w:val="17"/>
          <w:szCs w:val="17"/>
          <w:color w:val="auto"/>
        </w:rPr>
      </w:pPr>
      <w:r>
        <w:rPr>
          <w:rFonts w:ascii="Arial" w:cs="Arial" w:eastAsia="Arial" w:hAnsi="Arial"/>
          <w:sz w:val="17"/>
          <w:szCs w:val="17"/>
          <w:color w:val="auto"/>
        </w:rPr>
        <w:t>License fees relating to sport rights are a key component of how we generate revenue and one of our main operating expenses. Such license fees are presented either under purchased services and licenses or under depreciation and amortization, depending on the accounting treatment of each relevant license.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Our presentation of Adjusted EBITDA removes this difference in classification by decreasing our EBITDA by our amortization of sports rights. As such, our presentation of Adjusted EBITDA reflects the full costs of our sports rights licenses. Management believes that, by deducting the full amount of amortization of sport rights in its calculation of Adjusted EBITDA, the result is a financial metric that is both more meaningful and comparable for management and our investors while also being more indicative of our ongoing operating performance.</w:t>
      </w:r>
    </w:p>
    <w:p>
      <w:pPr>
        <w:spacing w:after="0" w:line="77" w:lineRule="exact"/>
        <w:rPr>
          <w:rFonts w:ascii="Arial" w:cs="Arial" w:eastAsia="Arial" w:hAnsi="Arial"/>
          <w:sz w:val="17"/>
          <w:szCs w:val="17"/>
          <w:color w:val="auto"/>
        </w:rPr>
      </w:pPr>
    </w:p>
    <w:p>
      <w:pPr>
        <w:ind w:left="980" w:right="20"/>
        <w:spacing w:after="0" w:line="296" w:lineRule="auto"/>
        <w:rPr>
          <w:rFonts w:ascii="Arial" w:cs="Arial" w:eastAsia="Arial" w:hAnsi="Arial"/>
          <w:sz w:val="17"/>
          <w:szCs w:val="17"/>
          <w:color w:val="auto"/>
        </w:rPr>
      </w:pPr>
      <w:r>
        <w:rPr>
          <w:rFonts w:ascii="Arial" w:cs="Arial" w:eastAsia="Arial" w:hAnsi="Arial"/>
          <w:sz w:val="16"/>
          <w:szCs w:val="16"/>
          <w:color w:val="auto"/>
        </w:rPr>
        <w:t>We present Adjusted EBITDA because management believes that some items excluded are non-recurring in nature and this information is relevant in evaluating the results of the respective segments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spacing w:after="0" w:line="53" w:lineRule="exact"/>
        <w:rPr>
          <w:rFonts w:ascii="Arial" w:cs="Arial" w:eastAsia="Arial" w:hAnsi="Arial"/>
          <w:sz w:val="17"/>
          <w:szCs w:val="17"/>
          <w:color w:val="auto"/>
        </w:rPr>
      </w:pPr>
    </w:p>
    <w:p>
      <w:pPr>
        <w:ind w:left="980" w:right="180"/>
        <w:spacing w:after="0" w:line="257" w:lineRule="auto"/>
        <w:rPr>
          <w:rFonts w:ascii="Arial" w:cs="Arial" w:eastAsia="Arial" w:hAnsi="Arial"/>
          <w:sz w:val="17"/>
          <w:szCs w:val="17"/>
          <w:color w:val="auto"/>
        </w:rPr>
      </w:pPr>
      <w:r>
        <w:rPr>
          <w:rFonts w:ascii="Arial" w:cs="Arial" w:eastAsia="Arial" w:hAnsi="Arial"/>
          <w:sz w:val="18"/>
          <w:szCs w:val="18"/>
          <w:color w:val="auto"/>
        </w:rPr>
        <w:t>Items excluded from Adjusted EBITDA include significant components in understanding and assessing financial performance. Adjusted EBITDA has limitations as an analytical tool and should not be considered in isolation, or as an alternative to, or a substitutes for, profit for the period,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spacing w:after="0" w:line="93" w:lineRule="exact"/>
        <w:rPr>
          <w:rFonts w:ascii="Arial" w:cs="Arial" w:eastAsia="Arial" w:hAnsi="Arial"/>
          <w:sz w:val="17"/>
          <w:szCs w:val="17"/>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is the ratio of Adjusted EBITDA to revenue.</w:t>
      </w:r>
    </w:p>
    <w:p>
      <w:pPr>
        <w:spacing w:after="0" w:line="130" w:lineRule="exact"/>
        <w:rPr>
          <w:rFonts w:ascii="Arial" w:cs="Arial" w:eastAsia="Arial" w:hAnsi="Arial"/>
          <w:sz w:val="18"/>
          <w:szCs w:val="18"/>
          <w:color w:val="auto"/>
        </w:rPr>
      </w:pPr>
    </w:p>
    <w:p>
      <w:pPr>
        <w:ind w:left="960" w:right="20" w:hanging="424"/>
        <w:spacing w:after="0" w:line="254"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“Adjusted Free Cash Flow” </w:t>
      </w:r>
      <w:r>
        <w:rPr>
          <w:rFonts w:ascii="Arial" w:cs="Arial" w:eastAsia="Arial" w:hAnsi="Arial"/>
          <w:sz w:val="18"/>
          <w:szCs w:val="18"/>
          <w:color w:val="auto"/>
        </w:rPr>
        <w:t>represents net cash from operating activities adjusted for payments for lease liabilities, acquisition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acquisition of intangible assets (excluding certain intangible assets required to further support an acquired business). We consider Adjusted Free Cash Flow to be a liquidity measure that provides useful information to management and investors about the amount of cash generated by the business after the purchase of property and equipment, of intangible assets and payment of lease liabilities, which can then be used to, among other things, to invest in our business and make strategic acquisitions. A limitation of the utility of Adjusted Free Cash Flow as a measure of liquidity is that it does not represent the total increase or decrease in our cash balance for the year.</w:t>
      </w:r>
    </w:p>
    <w:p>
      <w:pPr>
        <w:spacing w:after="0" w:line="100"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“Cash Flow Conversion” </w:t>
      </w:r>
      <w:r>
        <w:rPr>
          <w:rFonts w:ascii="Arial" w:cs="Arial" w:eastAsia="Arial" w:hAnsi="Arial"/>
          <w:sz w:val="18"/>
          <w:szCs w:val="18"/>
          <w:color w:val="auto"/>
        </w:rPr>
        <w:t>is the ratio of Adjusted Free Cash Flow to Adjusted EBITDA.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we define our operating metrics as follows:</w:t>
      </w:r>
    </w:p>
    <w:p>
      <w:pPr>
        <w:spacing w:after="0" w:line="131" w:lineRule="exact"/>
        <w:rPr>
          <w:sz w:val="20"/>
          <w:szCs w:val="20"/>
          <w:color w:val="auto"/>
        </w:rPr>
      </w:pPr>
    </w:p>
    <w:p>
      <w:pPr>
        <w:ind w:left="960" w:right="140" w:hanging="424"/>
        <w:spacing w:after="0" w:line="273"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“Dollar-Based Net Retention Rate” </w:t>
      </w:r>
      <w:r>
        <w:rPr>
          <w:rFonts w:ascii="Arial" w:cs="Arial" w:eastAsia="Arial" w:hAnsi="Arial"/>
          <w:sz w:val="17"/>
          <w:szCs w:val="17"/>
          <w:color w:val="auto"/>
        </w:rPr>
        <w:t>is calculated for a given period by starting with the reported Trailing Twelve Month revenue,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both subscription-based and revenue sharing revenue, from our top 200 customers as of twelve months prior to such period end, or Prior Period revenue. We then calculate the reported Trailing Twelve 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Dollar-Based Net Retention Rate.</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is unable to provide a reconciliation of Adjusted EBITDA to profit (loss) for the period, its most directly comparable IFRS financial measure, on a forward- looking basis without unreasonable effort because items that impact this IFRS financial measure are not within the Company’s control and/or cannot be reasonably predicted. These items may include, but are not limited to foreign exchange gains and losses. Such information may have a significant, and potentially unpredictable, impact on the Company’s future financial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without limitation, statements regarding future financial or operating performance, planned activities and objectives, anticipated growth resulting therefrom, market opportunities, strategies and other expectations, and expected performance for the full year 2021. In some cases, these forward-looking statements can be identified by words or phrases such as “may,” “might,” “will,” “could,” “would,” “should,” “expect,” “plan,” “anticipate,” “intend,” “seek,” “believe,” “estimate,” “predict,” “potential,” “continue,” “contemplate,”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economy downturns and political and market conditions beyond our control; the global COVID-19 pandemic and its adverse effects on our business; dependence on our strategic relationships with our sports league partners; effect of social responsibility concerns and public opinion on responsible gaming requirements on our reputation; potential adverse changes in public and consumer tastes and preferences and industry trends; potential changes in competitive landscape, including new market entrants or disintermediation; potential inability to anticipate and adopt new technology; potential errors, failures or bugs in our products; inability to protect our systems and data from continually evolving cybersecurity risks, security breaches or other technological risks; potential interruptions and failures in our systems or infrastructure; our ability to comply with governmental laws, rules, regulations, and other legal obligations, related to data privacy, protection and security; ability to comply with the variety of unsettled and developing U.S. and foreign laws on sports betting; dependence on jurisdictions with uncertain regulatory frameworks for our revenue; changes in the legal and regulatory status of real money gambling and betting legislation for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material weaknesses identified in our internal control over financial reporting; inability to secure additional financing in a timely manner, or at all, to meet our long-term future capital needs; risks related to future acquisitions; and other risk factors set forth in the section titled “Risk Factors” in our prospectus pursuant to Rule 424(b) filed with the Securities and Exchange Commission on September 15, 2021, and other documents filed with or furnished to the SEC, accessible on the SEC’s website at www.sec.gov and on our website at https://investors.sportradar.com.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SPORTRADAR GROUP AG</w:t>
      </w:r>
    </w:p>
    <w:p>
      <w:pPr>
        <w:spacing w:after="0" w:line="27" w:lineRule="exact"/>
        <w:rPr>
          <w:sz w:val="20"/>
          <w:szCs w:val="20"/>
          <w:color w:val="auto"/>
        </w:rPr>
      </w:pPr>
    </w:p>
    <w:p>
      <w:pPr>
        <w:ind w:right="88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PROFIT OR LOSS AND OTHER COMPREHENSIVE INCOME </w:t>
      </w:r>
      <w:r>
        <w:rPr>
          <w:rFonts w:ascii="Arial" w:cs="Arial" w:eastAsia="Arial" w:hAnsi="Arial"/>
          <w:sz w:val="18"/>
          <w:szCs w:val="18"/>
          <w:color w:val="auto"/>
        </w:rPr>
        <w:t>(Expressed in thousands of Euros – except for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105,294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136,765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296,894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408,837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Purchased services and licenses (excluding depreciation and amortization)</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(26,220)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(29,413)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(63,476)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(85,977)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 capitalized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Personnel expenses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(31,366)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(51,333)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(86,985)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(136,777)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(27,486)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(60,117)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(27,962)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(27,182)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(80,870)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(91,271)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intangibles assets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Impairment of equity-accounted investee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trade receivables, contract assets and other financial assets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Share of income (loss) of equity-accounted investees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(876)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Finance costs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(8,739)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(13,390)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(21,437)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(36,839)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(15,995)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(5,990)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8,699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19,338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(3,047)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(3,451)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for the period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(9,037)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5,248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8,614</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will not be reclassified subsequently to profit or loss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Remeasurement of defined benefit liability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Related deferred tax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1,736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1,813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1,860</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1,943</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for the period, net of tax</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(13,108)</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(10,313)</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attributable to:</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(14,334)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(8,829)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5,907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(14,983)</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(9,037)</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(12,583)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7,765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(13,108)</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(10,313)</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7,235</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5380"/>
              <w:spacing w:after="0"/>
              <w:rPr>
                <w:sz w:val="20"/>
                <w:szCs w:val="20"/>
                <w:color w:val="auto"/>
              </w:rPr>
            </w:pPr>
            <w:r>
              <w:rPr>
                <w:rFonts w:ascii="Arial" w:cs="Arial" w:eastAsia="Arial" w:hAnsi="Arial"/>
                <w:sz w:val="18"/>
                <w:szCs w:val="18"/>
                <w:color w:val="auto"/>
              </w:rPr>
              <w:t>F-7</w:t>
            </w: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SPORTRADAR GROUP AG</w:t>
      </w:r>
    </w:p>
    <w:p>
      <w:pPr>
        <w:spacing w:after="0" w:line="27" w:lineRule="exact"/>
        <w:rPr>
          <w:sz w:val="20"/>
          <w:szCs w:val="20"/>
          <w:color w:val="auto"/>
        </w:rPr>
      </w:pPr>
    </w:p>
    <w:p>
      <w:pPr>
        <w:ind w:right="402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FINANCIAL POSITION </w:t>
      </w:r>
      <w:r>
        <w:rPr>
          <w:rFonts w:ascii="Arial" w:cs="Arial" w:eastAsia="Arial" w:hAnsi="Arial"/>
          <w:sz w:val="18"/>
          <w:szCs w:val="18"/>
          <w:color w:val="auto"/>
        </w:rPr>
        <w:t>(Expressed in thousands of Euros)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r>
      <w:tr>
        <w:trPr>
          <w:trHeight w:val="178"/>
        </w:trPr>
        <w:tc>
          <w:tcPr>
            <w:tcW w:w="4460" w:type="dxa"/>
            <w:vAlign w:val="bottom"/>
          </w:tcPr>
          <w:p>
            <w:pPr>
              <w:spacing w:after="0"/>
              <w:rPr>
                <w:sz w:val="15"/>
                <w:szCs w:val="15"/>
                <w:color w:val="auto"/>
              </w:rPr>
            </w:pPr>
          </w:p>
        </w:tc>
        <w:tc>
          <w:tcPr>
            <w:tcW w:w="5240" w:type="dxa"/>
            <w:vAlign w:val="bottom"/>
            <w:gridSpan w:val="2"/>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385,542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768,402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 receivables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23,812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31,444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assets and prepayments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15,018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19,411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w:t>
            </w:r>
          </w:p>
        </w:tc>
      </w:tr>
      <w:tr>
        <w:trPr>
          <w:trHeight w:val="230"/>
        </w:trPr>
        <w:tc>
          <w:tcPr>
            <w:tcW w:w="44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449,808</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856,329</w:t>
            </w:r>
          </w:p>
        </w:tc>
        <w:tc>
          <w:tcPr>
            <w:tcW w:w="120" w:type="dxa"/>
            <w:vAlign w:val="bottom"/>
          </w:tcPr>
          <w:p>
            <w:pPr>
              <w:spacing w:after="0"/>
              <w:rPr>
                <w:sz w:val="20"/>
                <w:szCs w:val="20"/>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33,983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34,557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346,069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779,061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Equity-accounted investees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9,884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8,397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95,055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Deferred tax assets</w:t>
            </w:r>
          </w:p>
        </w:tc>
        <w:tc>
          <w:tcPr>
            <w:tcW w:w="4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22,218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25,042</w:t>
            </w:r>
          </w:p>
        </w:tc>
      </w:tr>
      <w:tr>
        <w:trPr>
          <w:trHeight w:val="27"/>
        </w:trPr>
        <w:tc>
          <w:tcPr>
            <w:tcW w:w="4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507,209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855,333</w:t>
            </w: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957,017</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1,711,662</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Loans and borrowings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8,040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6,713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131,469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169,280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liabilities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37,733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64,771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14,976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26,077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Income tax liabilities</w:t>
            </w:r>
          </w:p>
        </w:tc>
        <w:tc>
          <w:tcPr>
            <w:tcW w:w="4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7,535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9,456</w:t>
            </w:r>
          </w:p>
        </w:tc>
      </w:tr>
      <w:tr>
        <w:trPr>
          <w:trHeight w:val="27"/>
        </w:trPr>
        <w:tc>
          <w:tcPr>
            <w:tcW w:w="4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199,753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276,297</w:t>
            </w: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4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Loans and borrowings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430,639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429,855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 payables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146,157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308,653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10,682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5,654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27,385</w:t>
            </w:r>
          </w:p>
        </w:tc>
      </w:tr>
      <w:tr>
        <w:trPr>
          <w:trHeight w:val="27"/>
        </w:trPr>
        <w:tc>
          <w:tcPr>
            <w:tcW w:w="4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593,132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774,835</w:t>
            </w: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792,885</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1,051,132</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4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18,887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Class B ordinary shares</w:t>
            </w:r>
          </w:p>
        </w:tc>
        <w:tc>
          <w:tcPr>
            <w:tcW w:w="4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8,308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Participation certificates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161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5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(1,970)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99,896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534,967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68,027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101,937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reserves</w:t>
            </w:r>
          </w:p>
        </w:tc>
        <w:tc>
          <w:tcPr>
            <w:tcW w:w="4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r>
      <w:tr>
        <w:trPr>
          <w:trHeight w:val="27"/>
        </w:trPr>
        <w:tc>
          <w:tcPr>
            <w:tcW w:w="4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Company</w:t>
            </w:r>
          </w:p>
        </w:tc>
        <w:tc>
          <w:tcPr>
            <w:tcW w:w="4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167,275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663,848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4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(3,143)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(3,318)</w:t>
            </w:r>
          </w:p>
        </w:tc>
      </w:tr>
      <w:tr>
        <w:trPr>
          <w:trHeight w:val="27"/>
        </w:trPr>
        <w:tc>
          <w:tcPr>
            <w:tcW w:w="4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4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164,132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660,530</w:t>
            </w: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4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957,017</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1,711,662</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5560" w:type="dxa"/>
            <w:vAlign w:val="bottom"/>
            <w:gridSpan w:val="3"/>
          </w:tcPr>
          <w:p>
            <w:pPr>
              <w:jc w:val="right"/>
              <w:ind w:right="4400"/>
              <w:spacing w:after="0"/>
              <w:rPr>
                <w:sz w:val="20"/>
                <w:szCs w:val="20"/>
                <w:color w:val="auto"/>
              </w:rPr>
            </w:pPr>
            <w:r>
              <w:rPr>
                <w:rFonts w:ascii="Arial" w:cs="Arial" w:eastAsia="Arial" w:hAnsi="Arial"/>
                <w:sz w:val="18"/>
                <w:szCs w:val="18"/>
                <w:color w:val="auto"/>
              </w:rPr>
              <w:t>F-8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SPORTRADAR GROUP AG</w:t>
      </w:r>
    </w:p>
    <w:p>
      <w:pPr>
        <w:spacing w:after="0" w:line="27" w:lineRule="exact"/>
        <w:rPr>
          <w:sz w:val="20"/>
          <w:szCs w:val="20"/>
          <w:color w:val="auto"/>
        </w:rPr>
      </w:pPr>
    </w:p>
    <w:p>
      <w:pPr>
        <w:ind w:right="476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CASH FLOWS </w:t>
      </w:r>
      <w:r>
        <w:rPr>
          <w:rFonts w:ascii="Arial" w:cs="Arial" w:eastAsia="Arial" w:hAnsi="Arial"/>
          <w:sz w:val="18"/>
          <w:szCs w:val="18"/>
          <w:color w:val="auto"/>
        </w:rPr>
        <w:t>(Expressed in thousands of Euros)</w:t>
      </w:r>
    </w:p>
    <w:p>
      <w:pPr>
        <w:spacing w:after="0" w:line="20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Nine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9"/>
        </w:trPr>
        <w:tc>
          <w:tcPr>
            <w:tcW w:w="93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Profit for the period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5,248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profit for the period to net cash provided by operating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Income tax expense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3,451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9,605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equity-accounted investee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Other financial expenses net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(6,601)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impairment of intangible assets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99,727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83,713</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Depreciation of property and equipment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7,327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Equity – settled share-based payments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before working capital changes, interest and income taxes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120,251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148,275</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Increase in trade receivables, contract assets, other assets and prepayments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(15,338)</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 contract and other liabilities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(3,062)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115,318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125,604</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intangible assets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(65,235)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(81,478)</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(1,386)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subsidiaries, net of cash acquired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(198,432)</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loans receivable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Issuance of loans receivable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(2,088)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deposits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Payment of deposits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(68,414)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(284,303)</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borrowing of bank debt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42,145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related to borrowings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Principal payments on bank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(46,099)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Change in bank overdrafts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Purchase of MPP share awards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(3,750)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MPP share awards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issue of participation certificates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new shares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546,257</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b w:val="1"/>
                <w:bCs w:val="1"/>
                <w:color w:val="auto"/>
              </w:rPr>
              <w:t>Net cash (used in) from financing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(11,458)</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542,321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35,446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383,622</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Cash at the beginning of the period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57,024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385,542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Effects of movements in exchange rates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Cash at the end of the period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93,099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ind w:left="5380"/>
              <w:spacing w:after="0"/>
              <w:rPr>
                <w:sz w:val="20"/>
                <w:szCs w:val="20"/>
                <w:color w:val="auto"/>
              </w:rPr>
            </w:pPr>
            <w:r>
              <w:rPr>
                <w:rFonts w:ascii="Arial" w:cs="Arial" w:eastAsia="Arial" w:hAnsi="Arial"/>
                <w:sz w:val="18"/>
                <w:szCs w:val="18"/>
                <w:color w:val="auto"/>
              </w:rPr>
              <w:t>F-9</w:t>
            </w: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out below is the information related to each reportable segment for the three and nine month periods ended September 30, 2020 and 2021.</w:t>
      </w:r>
    </w:p>
    <w:p>
      <w:pPr>
        <w:spacing w:after="0" w:line="25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2"/>
          </w:tcPr>
          <w:p>
            <w:pPr>
              <w:jc w:val="right"/>
              <w:ind w:right="300"/>
              <w:spacing w:after="0"/>
              <w:rPr>
                <w:sz w:val="20"/>
                <w:szCs w:val="20"/>
                <w:color w:val="auto"/>
              </w:rPr>
            </w:pPr>
            <w:r>
              <w:rPr>
                <w:rFonts w:ascii="Arial" w:cs="Arial" w:eastAsia="Arial" w:hAnsi="Arial"/>
                <w:sz w:val="14"/>
                <w:szCs w:val="14"/>
                <w:b w:val="1"/>
                <w:bCs w:val="1"/>
                <w:color w:val="auto"/>
              </w:rPr>
              <w:t>Three Months Ended September 30, 2020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RoW</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rPr>
              <w:t>RoW</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United</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All other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5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Betting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reportable</w:t>
            </w:r>
          </w:p>
        </w:tc>
        <w:tc>
          <w:tcPr>
            <w:tcW w:w="780" w:type="dxa"/>
            <w:vAlign w:val="bottom"/>
            <w:gridSpan w:val="2"/>
            <w:vMerge w:val="continue"/>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gridSpan w:val="4"/>
          </w:tcPr>
          <w:p>
            <w:pPr>
              <w:ind w:left="60"/>
              <w:spacing w:after="0" w:line="158" w:lineRule="exact"/>
              <w:rPr>
                <w:sz w:val="20"/>
                <w:szCs w:val="20"/>
                <w:color w:val="auto"/>
              </w:rPr>
            </w:pPr>
            <w:r>
              <w:rPr>
                <w:rFonts w:ascii="Arial" w:cs="Arial" w:eastAsia="Arial" w:hAnsi="Arial"/>
                <w:sz w:val="14"/>
                <w:szCs w:val="14"/>
                <w:b w:val="1"/>
                <w:bCs w:val="1"/>
                <w:color w:val="auto"/>
                <w:w w:val="99"/>
              </w:rPr>
              <w:t>Betting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gridSpan w:val="3"/>
          </w:tcPr>
          <w:p>
            <w:pPr>
              <w:jc w:val="center"/>
              <w:spacing w:after="0" w:line="158" w:lineRule="exact"/>
              <w:rPr>
                <w:sz w:val="20"/>
                <w:szCs w:val="20"/>
                <w:color w:val="auto"/>
              </w:rPr>
            </w:pPr>
            <w:r>
              <w:rPr>
                <w:rFonts w:ascii="Arial" w:cs="Arial" w:eastAsia="Arial" w:hAnsi="Arial"/>
                <w:sz w:val="14"/>
                <w:szCs w:val="14"/>
                <w:b w:val="1"/>
                <w:bCs w:val="1"/>
                <w:color w:val="auto"/>
              </w:rPr>
              <w:t>AV</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5"/>
              </w:rPr>
              <w:t>States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5"/>
              </w:rPr>
              <w:t>segments</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82"/>
              </w:rPr>
              <w:t>segments</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6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w w:val="90"/>
              </w:rPr>
              <w:t>63,180</w:t>
            </w:r>
          </w:p>
        </w:tc>
        <w:tc>
          <w:tcPr>
            <w:tcW w:w="76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25,723</w:t>
            </w: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8,927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97,830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105,294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Segment Adjusted EBITDA</w:t>
            </w:r>
          </w:p>
        </w:tc>
        <w:tc>
          <w:tcPr>
            <w:tcW w:w="860" w:type="dxa"/>
            <w:vAlign w:val="bottom"/>
            <w:gridSpan w:val="8"/>
          </w:tcPr>
          <w:p>
            <w:pPr>
              <w:ind w:left="340"/>
              <w:spacing w:after="0"/>
              <w:rPr>
                <w:sz w:val="20"/>
                <w:szCs w:val="20"/>
                <w:color w:val="auto"/>
              </w:rPr>
            </w:pPr>
            <w:r>
              <w:rPr>
                <w:rFonts w:ascii="Arial" w:cs="Arial" w:eastAsia="Arial" w:hAnsi="Arial"/>
                <w:sz w:val="18"/>
                <w:szCs w:val="18"/>
                <w:color w:val="auto"/>
                <w:w w:val="90"/>
              </w:rPr>
              <w:t>32,990</w:t>
            </w:r>
          </w:p>
        </w:tc>
        <w:tc>
          <w:tcPr>
            <w:tcW w:w="760" w:type="dxa"/>
            <w:vAlign w:val="bottom"/>
            <w:gridSpan w:val="7"/>
          </w:tcPr>
          <w:p>
            <w:pPr>
              <w:jc w:val="right"/>
              <w:ind w:right="60"/>
              <w:spacing w:after="0"/>
              <w:rPr>
                <w:sz w:val="20"/>
                <w:szCs w:val="20"/>
                <w:color w:val="auto"/>
              </w:rPr>
            </w:pPr>
            <w:r>
              <w:rPr>
                <w:rFonts w:ascii="Arial" w:cs="Arial" w:eastAsia="Arial" w:hAnsi="Arial"/>
                <w:sz w:val="18"/>
                <w:szCs w:val="18"/>
                <w:color w:val="auto"/>
              </w:rPr>
              <w:t>2,995</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(5,334)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30,651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30,392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corporate expenses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(13,114)</w:t>
            </w: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jc w:val="right"/>
              <w:ind w:right="300"/>
              <w:spacing w:after="0"/>
              <w:rPr>
                <w:sz w:val="20"/>
                <w:szCs w:val="20"/>
                <w:color w:val="auto"/>
              </w:rPr>
            </w:pPr>
            <w:r>
              <w:rPr>
                <w:rFonts w:ascii="Arial" w:cs="Arial" w:eastAsia="Arial" w:hAnsi="Arial"/>
                <w:sz w:val="14"/>
                <w:szCs w:val="14"/>
                <w:b w:val="1"/>
                <w:bCs w:val="1"/>
                <w:color w:val="auto"/>
              </w:rPr>
              <w:t>Three Months Ended September 30, 2021</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RoW</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RoW</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United</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All other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5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Betting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reportable</w:t>
            </w:r>
          </w:p>
        </w:tc>
        <w:tc>
          <w:tcPr>
            <w:tcW w:w="780" w:type="dxa"/>
            <w:vAlign w:val="bottom"/>
            <w:gridSpan w:val="2"/>
            <w:vMerge w:val="continue"/>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w w:val="95"/>
              </w:rPr>
              <w:t>Betting</w:t>
            </w: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AV</w:t>
            </w:r>
          </w:p>
        </w:tc>
        <w:tc>
          <w:tcPr>
            <w:tcW w:w="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States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5"/>
              </w:rPr>
              <w:t>segments</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82"/>
              </w:rPr>
              <w:t>segments</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4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w w:val="90"/>
              </w:rPr>
              <w:t>78,589</w:t>
            </w:r>
          </w:p>
        </w:tc>
        <w:tc>
          <w:tcPr>
            <w:tcW w:w="2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28,974</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19,569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127,132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136,765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Segment Adjusted EBITDA</w:t>
            </w:r>
          </w:p>
        </w:tc>
        <w:tc>
          <w:tcPr>
            <w:tcW w:w="840" w:type="dxa"/>
            <w:vAlign w:val="bottom"/>
            <w:gridSpan w:val="7"/>
          </w:tcPr>
          <w:p>
            <w:pPr>
              <w:ind w:left="320"/>
              <w:spacing w:after="0"/>
              <w:rPr>
                <w:sz w:val="20"/>
                <w:szCs w:val="20"/>
                <w:color w:val="auto"/>
              </w:rPr>
            </w:pPr>
            <w:r>
              <w:rPr>
                <w:rFonts w:ascii="Arial" w:cs="Arial" w:eastAsia="Arial" w:hAnsi="Arial"/>
                <w:sz w:val="18"/>
                <w:szCs w:val="18"/>
                <w:color w:val="auto"/>
                <w:w w:val="90"/>
              </w:rPr>
              <w:t>44,741</w:t>
            </w:r>
          </w:p>
        </w:tc>
        <w:tc>
          <w:tcPr>
            <w:tcW w:w="20" w:type="dxa"/>
            <w:vAlign w:val="bottom"/>
          </w:tcPr>
          <w:p>
            <w:pPr>
              <w:spacing w:after="0"/>
              <w:rPr>
                <w:sz w:val="18"/>
                <w:szCs w:val="18"/>
                <w:color w:val="auto"/>
              </w:rPr>
            </w:pPr>
          </w:p>
        </w:tc>
        <w:tc>
          <w:tcPr>
            <w:tcW w:w="700" w:type="dxa"/>
            <w:vAlign w:val="bottom"/>
            <w:gridSpan w:val="6"/>
          </w:tcPr>
          <w:p>
            <w:pPr>
              <w:jc w:val="right"/>
              <w:ind w:right="20"/>
              <w:spacing w:after="0"/>
              <w:rPr>
                <w:sz w:val="20"/>
                <w:szCs w:val="20"/>
                <w:color w:val="auto"/>
              </w:rPr>
            </w:pPr>
            <w:r>
              <w:rPr>
                <w:rFonts w:ascii="Arial" w:cs="Arial" w:eastAsia="Arial" w:hAnsi="Arial"/>
                <w:sz w:val="18"/>
                <w:szCs w:val="18"/>
                <w:color w:val="auto"/>
              </w:rPr>
              <w:t>9,587</w:t>
            </w: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(6,593)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47,735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(2,422)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45,313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corporate expenses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(24,436)</w:t>
            </w: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4"/>
                <w:szCs w:val="14"/>
                <w:b w:val="1"/>
                <w:bCs w:val="1"/>
                <w:color w:val="auto"/>
                <w:w w:val="98"/>
              </w:rPr>
              <w:t>Nine Months Ended September 30, 2020</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rPr>
              <w:t>RoW</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4"/>
          </w:tcPr>
          <w:p>
            <w:pPr>
              <w:jc w:val="right"/>
              <w:ind w:right="280"/>
              <w:spacing w:after="0" w:line="119" w:lineRule="exact"/>
              <w:rPr>
                <w:sz w:val="20"/>
                <w:szCs w:val="20"/>
                <w:color w:val="auto"/>
              </w:rPr>
            </w:pPr>
            <w:r>
              <w:rPr>
                <w:rFonts w:ascii="Arial" w:cs="Arial" w:eastAsia="Arial" w:hAnsi="Arial"/>
                <w:sz w:val="13"/>
                <w:szCs w:val="13"/>
                <w:b w:val="1"/>
                <w:bCs w:val="1"/>
                <w:color w:val="auto"/>
              </w:rPr>
              <w:t>RoW</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United</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All other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5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Betting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reportable</w:t>
            </w:r>
          </w:p>
        </w:tc>
        <w:tc>
          <w:tcPr>
            <w:tcW w:w="780" w:type="dxa"/>
            <w:vAlign w:val="bottom"/>
            <w:gridSpan w:val="2"/>
            <w:vMerge w:val="continue"/>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gridSpan w:val="4"/>
          </w:tcPr>
          <w:p>
            <w:pPr>
              <w:jc w:val="center"/>
              <w:spacing w:after="0" w:line="158" w:lineRule="exact"/>
              <w:rPr>
                <w:sz w:val="20"/>
                <w:szCs w:val="20"/>
                <w:color w:val="auto"/>
              </w:rPr>
            </w:pPr>
            <w:r>
              <w:rPr>
                <w:rFonts w:ascii="Arial" w:cs="Arial" w:eastAsia="Arial" w:hAnsi="Arial"/>
                <w:sz w:val="14"/>
                <w:szCs w:val="14"/>
                <w:b w:val="1"/>
                <w:bCs w:val="1"/>
                <w:color w:val="auto"/>
                <w:w w:val="91"/>
              </w:rPr>
              <w:t>Betting</w:t>
            </w:r>
          </w:p>
        </w:tc>
        <w:tc>
          <w:tcPr>
            <w:tcW w:w="1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100"/>
              <w:spacing w:after="0" w:line="158" w:lineRule="exact"/>
              <w:rPr>
                <w:sz w:val="20"/>
                <w:szCs w:val="20"/>
                <w:color w:val="auto"/>
              </w:rPr>
            </w:pPr>
            <w:r>
              <w:rPr>
                <w:rFonts w:ascii="Arial" w:cs="Arial" w:eastAsia="Arial" w:hAnsi="Arial"/>
                <w:sz w:val="14"/>
                <w:szCs w:val="14"/>
                <w:b w:val="1"/>
                <w:bCs w:val="1"/>
                <w:color w:val="auto"/>
              </w:rPr>
              <w:t>AV</w:t>
            </w:r>
          </w:p>
        </w:tc>
        <w:tc>
          <w:tcPr>
            <w:tcW w:w="160" w:type="dxa"/>
            <w:vAlign w:val="bottom"/>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w w:val="85"/>
              </w:rPr>
              <w:t>States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5"/>
              </w:rPr>
              <w:t>segments</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82"/>
              </w:rPr>
              <w:t>segments</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171,572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82,407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22,285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276,264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20,630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296,894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Segment Adjusted EBITDA</w:t>
            </w:r>
          </w:p>
        </w:tc>
        <w:tc>
          <w:tcPr>
            <w:tcW w:w="820" w:type="dxa"/>
            <w:vAlign w:val="bottom"/>
            <w:gridSpan w:val="6"/>
          </w:tcPr>
          <w:p>
            <w:pPr>
              <w:jc w:val="right"/>
              <w:ind w:right="80"/>
              <w:spacing w:after="0"/>
              <w:rPr>
                <w:sz w:val="20"/>
                <w:szCs w:val="20"/>
                <w:color w:val="auto"/>
              </w:rPr>
            </w:pPr>
            <w:r>
              <w:rPr>
                <w:rFonts w:ascii="Arial" w:cs="Arial" w:eastAsia="Arial" w:hAnsi="Arial"/>
                <w:sz w:val="18"/>
                <w:szCs w:val="18"/>
                <w:color w:val="auto"/>
              </w:rPr>
              <w:t>89,819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rPr>
              <w:t>21,165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(17,721)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93,263</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93,247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corporate expenses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(35,182)</w:t>
            </w: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jc w:val="right"/>
              <w:ind w:right="480"/>
              <w:spacing w:after="0"/>
              <w:rPr>
                <w:sz w:val="20"/>
                <w:szCs w:val="20"/>
                <w:color w:val="auto"/>
              </w:rPr>
            </w:pPr>
            <w:r>
              <w:rPr>
                <w:rFonts w:ascii="Arial" w:cs="Arial" w:eastAsia="Arial" w:hAnsi="Arial"/>
                <w:sz w:val="14"/>
                <w:szCs w:val="14"/>
                <w:b w:val="1"/>
                <w:bCs w:val="1"/>
                <w:color w:val="auto"/>
                <w:w w:val="96"/>
              </w:rPr>
              <w:t>Nine Months Ended September 30, 2021</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RoW</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rPr>
              <w:t>RoW</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United</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All other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5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Betting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reportable</w:t>
            </w:r>
          </w:p>
        </w:tc>
        <w:tc>
          <w:tcPr>
            <w:tcW w:w="780" w:type="dxa"/>
            <w:vAlign w:val="bottom"/>
            <w:gridSpan w:val="2"/>
            <w:vMerge w:val="continue"/>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28"/>
              <w:spacing w:after="0" w:line="158" w:lineRule="exact"/>
              <w:rPr>
                <w:sz w:val="20"/>
                <w:szCs w:val="20"/>
                <w:color w:val="auto"/>
              </w:rPr>
            </w:pPr>
            <w:r>
              <w:rPr>
                <w:rFonts w:ascii="Arial" w:cs="Arial" w:eastAsia="Arial" w:hAnsi="Arial"/>
                <w:sz w:val="14"/>
                <w:szCs w:val="14"/>
                <w:b w:val="1"/>
                <w:bCs w:val="1"/>
                <w:color w:val="auto"/>
                <w:w w:val="91"/>
              </w:rPr>
              <w:t>Betting</w:t>
            </w:r>
          </w:p>
        </w:tc>
        <w:tc>
          <w:tcPr>
            <w:tcW w:w="160" w:type="dxa"/>
            <w:vAlign w:val="bottom"/>
            <w:gridSpan w:val="2"/>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109"/>
              <w:spacing w:after="0" w:line="158" w:lineRule="exact"/>
              <w:rPr>
                <w:sz w:val="20"/>
                <w:szCs w:val="20"/>
                <w:color w:val="auto"/>
              </w:rPr>
            </w:pPr>
            <w:r>
              <w:rPr>
                <w:rFonts w:ascii="Arial" w:cs="Arial" w:eastAsia="Arial" w:hAnsi="Arial"/>
                <w:sz w:val="14"/>
                <w:szCs w:val="14"/>
                <w:b w:val="1"/>
                <w:bCs w:val="1"/>
                <w:color w:val="auto"/>
              </w:rPr>
              <w:t>AV</w:t>
            </w:r>
          </w:p>
        </w:tc>
        <w:tc>
          <w:tcPr>
            <w:tcW w:w="160" w:type="dxa"/>
            <w:vAlign w:val="bottom"/>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w w:val="85"/>
              </w:rPr>
              <w:t>States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5"/>
              </w:rPr>
              <w:t>segments</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82"/>
              </w:rPr>
              <w:t>segments</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227,111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9"/>
              </w:rPr>
              <w:t>104,576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48,485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380,172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28,665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408,837</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Segment Adjusted EBITDA</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131,331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rPr>
              <w:t>29,370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(15,072)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145,629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(4,112)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141,517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corporate expenses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(60,873)</w:t>
            </w: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4" w:right="82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Unallocated corporate expenses primarily consist of salaries and wages for Group management, legal, human resources, finance, office, technology and other costs not allocated to the segments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24"/>
          </w:cols>
          <w:pgMar w:left="436" w:top="274" w:right="43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reconciles Adjusted EBITDA to the most directly comparable IFRS financial performance measure, which is profit for the period (in thousands):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18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8"/>
        </w:trPr>
        <w:tc>
          <w:tcPr>
            <w:tcW w:w="6600" w:type="dxa"/>
            <w:vAlign w:val="bottom"/>
            <w:gridSpan w:val="3"/>
            <w:vMerge w:val="continue"/>
          </w:tcPr>
          <w:p>
            <w:pPr>
              <w:spacing w:after="0"/>
              <w:rPr>
                <w:sz w:val="11"/>
                <w:szCs w:val="11"/>
                <w:color w:val="auto"/>
              </w:rPr>
            </w:pPr>
          </w:p>
        </w:tc>
        <w:tc>
          <w:tcPr>
            <w:tcW w:w="62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1"/>
                <w:szCs w:val="11"/>
                <w:color w:val="auto"/>
              </w:rPr>
            </w:pPr>
          </w:p>
        </w:tc>
        <w:tc>
          <w:tcPr>
            <w:tcW w:w="62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for the period</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(14,983)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Share based compensation</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5,148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27,962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27,182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80,870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Amortization of sport rights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(21,533)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(17,444)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(61,612)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intangibles assets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26,184</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26,184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Impairment of equity-accounted investee</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4,578</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4,578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 on other financial assets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(12,705)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(1,574)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(22,140)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8,739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21,437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(1,013)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3,047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3,451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20,877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reconciliation of Adjusted Free Cash Flow to the most directly comparable IFRS financial performance measure, which is net cash from operating activities (in thousands):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6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158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3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39,469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58,148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115,318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125,604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Acquisition of intangible assets</w:t>
            </w:r>
          </w:p>
        </w:tc>
        <w:tc>
          <w:tcPr>
            <w:tcW w:w="3680" w:type="dxa"/>
            <w:vAlign w:val="bottom"/>
            <w:gridSpan w:val="3"/>
          </w:tcPr>
          <w:p>
            <w:pPr>
              <w:jc w:val="right"/>
              <w:ind w:right="140"/>
              <w:spacing w:after="0"/>
              <w:rPr>
                <w:sz w:val="20"/>
                <w:szCs w:val="20"/>
                <w:color w:val="auto"/>
              </w:rPr>
            </w:pPr>
            <w:r>
              <w:rPr>
                <w:rFonts w:ascii="Arial" w:cs="Arial" w:eastAsia="Arial" w:hAnsi="Arial"/>
                <w:sz w:val="18"/>
                <w:szCs w:val="18"/>
                <w:color w:val="auto"/>
              </w:rPr>
              <w:t>(24,890)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(23,153)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(65,235)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and equipment</w:t>
            </w:r>
          </w:p>
        </w:tc>
        <w:tc>
          <w:tcPr>
            <w:tcW w:w="3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Payment of lease liabilities</w:t>
            </w:r>
          </w:p>
        </w:tc>
        <w:tc>
          <w:tcPr>
            <w:tcW w:w="28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(1,388)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(2,267)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2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13,506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32,946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46,430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80" w:type="dxa"/>
            <w:vAlign w:val="bottom"/>
            <w:gridSpan w:val="3"/>
          </w:tcPr>
          <w:p>
            <w:pPr>
              <w:jc w:val="right"/>
              <w:ind w:right="2460"/>
              <w:spacing w:after="0"/>
              <w:rPr>
                <w:sz w:val="20"/>
                <w:szCs w:val="20"/>
                <w:color w:val="auto"/>
              </w:rPr>
            </w:pPr>
            <w:r>
              <w:rPr>
                <w:rFonts w:ascii="Arial" w:cs="Arial" w:eastAsia="Arial" w:hAnsi="Arial"/>
                <w:sz w:val="18"/>
                <w:szCs w:val="18"/>
                <w:color w:val="auto"/>
              </w:rPr>
              <w:t>F-11</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2021-11-17T06:06:54Z</dcterms:created>
  <dcterms:modified xsi:type="dcterms:W3CDTF">2021-11-17T06:06:54Z</dcterms:modified>
</cp:coreProperties>
</file>