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0001910612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Sportradar Group AG</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001-40799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FELDLISTRASSE 2</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ST. GALLEN</w:t>
      </w:r>
    </w:p>
    <w:p>
      <w:pPr>
        <w:spacing w:after="0" w:line="230" w:lineRule="auto"/>
        <w:rPr>
          <w:sz w:val="20"/>
          <w:szCs w:val="20"/>
          <w:color w:val="auto"/>
        </w:rPr>
      </w:pPr>
      <w:r>
        <w:rPr>
          <w:rFonts w:ascii="Times New Roman" w:cs="Times New Roman" w:eastAsia="Times New Roman" w:hAnsi="Times New Roman"/>
          <w:sz w:val="22"/>
          <w:szCs w:val="22"/>
          <w:color w:val="auto"/>
        </w:rPr>
        <w:t>SWITZERLAND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CH-9000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49 89 2000 845 1137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Koerl Carsten</w:t>
      </w:r>
    </w:p>
    <w:p>
      <w:pPr>
        <w:spacing w:after="0" w:line="44" w:lineRule="exact"/>
        <w:rPr>
          <w:sz w:val="24"/>
          <w:szCs w:val="24"/>
          <w:color w:val="auto"/>
        </w:rPr>
      </w:pPr>
    </w:p>
    <w:p>
      <w:pPr>
        <w:sectPr>
          <w:pgSz w:w="11900" w:h="16838" w:orient="portrait"/>
          <w:cols w:equalWidth="0" w:num="2">
            <w:col w:w="7700" w:space="720"/>
            <w:col w:w="28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1"/>
          <w:szCs w:val="21"/>
          <w:color w:val="auto"/>
        </w:rPr>
        <w:t>UBS Financial Services,</w:t>
      </w:r>
    </w:p>
    <w:p>
      <w:pPr>
        <w:spacing w:after="0" w:line="16"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Inc.</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Class A Ordinary Shares</w:t>
      </w:r>
      <w:r>
        <w:rPr>
          <w:sz w:val="20"/>
          <w:szCs w:val="20"/>
          <w:color w:val="auto"/>
        </w:rPr>
        <w:tab/>
      </w:r>
      <w:r>
        <w:rPr>
          <w:rFonts w:ascii="Times New Roman" w:cs="Times New Roman" w:eastAsia="Times New Roman" w:hAnsi="Times New Roman"/>
          <w:sz w:val="21"/>
          <w:szCs w:val="21"/>
          <w:color w:val="auto"/>
        </w:rPr>
        <w:t>1000 Harbor Blvd</w:t>
      </w:r>
    </w:p>
    <w:p>
      <w:pPr>
        <w:ind w:left="2500"/>
        <w:spacing w:after="0" w:line="231" w:lineRule="auto"/>
        <w:rPr>
          <w:sz w:val="20"/>
          <w:szCs w:val="20"/>
          <w:color w:val="auto"/>
        </w:rPr>
      </w:pPr>
      <w:r>
        <w:rPr>
          <w:rFonts w:ascii="Times New Roman" w:cs="Times New Roman" w:eastAsia="Times New Roman" w:hAnsi="Times New Roman"/>
          <w:sz w:val="22"/>
          <w:szCs w:val="22"/>
          <w:color w:val="auto"/>
        </w:rPr>
        <w:t>3rd Floor</w:t>
      </w:r>
    </w:p>
    <w:p>
      <w:pPr>
        <w:jc w:val="right"/>
        <w:spacing w:after="0"/>
        <w:rPr>
          <w:sz w:val="20"/>
          <w:szCs w:val="20"/>
          <w:color w:val="auto"/>
        </w:rPr>
      </w:pPr>
      <w:r>
        <w:rPr>
          <w:rFonts w:ascii="Times New Roman" w:cs="Times New Roman" w:eastAsia="Times New Roman" w:hAnsi="Times New Roman"/>
          <w:sz w:val="22"/>
          <w:szCs w:val="22"/>
          <w:color w:val="auto"/>
        </w:rPr>
        <w:t>Weehawken  NJ  07086</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2077941</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24000218.00</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207794199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03/25/2024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40" w:space="22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8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0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360" w:type="dxa"/>
            <w:vAlign w:val="bottom"/>
          </w:tcPr>
          <w:p>
            <w:pPr>
              <w:spacing w:after="0"/>
              <w:rPr>
                <w:sz w:val="23"/>
                <w:szCs w:val="23"/>
                <w:color w:val="auto"/>
              </w:rPr>
            </w:pPr>
          </w:p>
        </w:tc>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Founder Share</w:t>
            </w:r>
          </w:p>
        </w:tc>
        <w:tc>
          <w:tcPr>
            <w:tcW w:w="14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Sportradar</w:t>
            </w:r>
          </w:p>
        </w:tc>
        <w:tc>
          <w:tcPr>
            <w:tcW w:w="28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2"/>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Ordinary</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06/24/2021</w:t>
            </w:r>
          </w:p>
        </w:tc>
        <w:tc>
          <w:tcPr>
            <w:tcW w:w="1580" w:type="dxa"/>
            <w:vAlign w:val="bottom"/>
            <w:vMerge w:val="continue"/>
          </w:tcPr>
          <w:p>
            <w:pPr>
              <w:spacing w:after="0"/>
              <w:rPr>
                <w:sz w:val="10"/>
                <w:szCs w:val="10"/>
                <w:color w:val="auto"/>
              </w:rPr>
            </w:pPr>
          </w:p>
        </w:tc>
        <w:tc>
          <w:tcPr>
            <w:tcW w:w="1480" w:type="dxa"/>
            <w:vAlign w:val="bottom"/>
            <w:vMerge w:val="continue"/>
          </w:tcPr>
          <w:p>
            <w:pPr>
              <w:spacing w:after="0"/>
              <w:rPr>
                <w:sz w:val="10"/>
                <w:szCs w:val="10"/>
                <w:color w:val="auto"/>
              </w:rPr>
            </w:pPr>
          </w:p>
        </w:tc>
        <w:tc>
          <w:tcPr>
            <w:tcW w:w="2800" w:type="dxa"/>
            <w:vAlign w:val="bottom"/>
            <w:vMerge w:val="restart"/>
          </w:tcPr>
          <w:p>
            <w:pPr>
              <w:jc w:val="right"/>
              <w:ind w:right="312"/>
              <w:spacing w:after="0"/>
              <w:rPr>
                <w:sz w:val="20"/>
                <w:szCs w:val="20"/>
                <w:color w:val="auto"/>
              </w:rPr>
            </w:pPr>
            <w:r>
              <w:rPr>
                <w:rFonts w:ascii="Times New Roman" w:cs="Times New Roman" w:eastAsia="Times New Roman" w:hAnsi="Times New Roman"/>
                <w:sz w:val="22"/>
                <w:szCs w:val="22"/>
                <w:color w:val="auto"/>
              </w:rPr>
              <w:t>1000000</w:t>
            </w:r>
          </w:p>
        </w:tc>
        <w:tc>
          <w:tcPr>
            <w:tcW w:w="25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rPr>
              <w:t>06/24/2021 Cash</w:t>
            </w:r>
          </w:p>
        </w:tc>
        <w:tc>
          <w:tcPr>
            <w:tcW w:w="0" w:type="dxa"/>
            <w:vAlign w:val="bottom"/>
          </w:tcPr>
          <w:p>
            <w:pPr>
              <w:spacing w:after="0"/>
              <w:rPr>
                <w:sz w:val="1"/>
                <w:szCs w:val="1"/>
                <w:color w:val="auto"/>
              </w:rPr>
            </w:pPr>
          </w:p>
        </w:tc>
      </w:tr>
      <w:tr>
        <w:trPr>
          <w:trHeight w:val="216"/>
        </w:trPr>
        <w:tc>
          <w:tcPr>
            <w:tcW w:w="1120" w:type="dxa"/>
            <w:vAlign w:val="bottom"/>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158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Purchase</w:t>
            </w:r>
          </w:p>
        </w:tc>
        <w:tc>
          <w:tcPr>
            <w:tcW w:w="1480" w:type="dxa"/>
            <w:vAlign w:val="bottom"/>
          </w:tcPr>
          <w:p>
            <w:pPr>
              <w:ind w:left="140"/>
              <w:spacing w:after="0" w:line="217" w:lineRule="exact"/>
              <w:rPr>
                <w:sz w:val="20"/>
                <w:szCs w:val="20"/>
                <w:color w:val="auto"/>
              </w:rPr>
            </w:pPr>
            <w:r>
              <w:rPr>
                <w:rFonts w:ascii="Times New Roman" w:cs="Times New Roman" w:eastAsia="Times New Roman" w:hAnsi="Times New Roman"/>
                <w:sz w:val="22"/>
                <w:szCs w:val="22"/>
                <w:color w:val="auto"/>
              </w:rPr>
              <w:t>Group AG</w:t>
            </w:r>
          </w:p>
        </w:tc>
        <w:tc>
          <w:tcPr>
            <w:tcW w:w="2800" w:type="dxa"/>
            <w:vAlign w:val="bottom"/>
            <w:vMerge w:val="continue"/>
          </w:tcPr>
          <w:p>
            <w:pPr>
              <w:spacing w:after="0"/>
              <w:rPr>
                <w:sz w:val="18"/>
                <w:szCs w:val="18"/>
                <w:color w:val="auto"/>
              </w:rPr>
            </w:pPr>
          </w:p>
        </w:tc>
        <w:tc>
          <w:tcPr>
            <w:tcW w:w="25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20" w:type="dxa"/>
            <w:vAlign w:val="bottom"/>
          </w:tcPr>
          <w:p>
            <w:pPr>
              <w:spacing w:after="0" w:line="202" w:lineRule="exact"/>
              <w:rPr>
                <w:sz w:val="20"/>
                <w:szCs w:val="20"/>
                <w:color w:val="auto"/>
              </w:rPr>
            </w:pPr>
            <w:r>
              <w:rPr>
                <w:rFonts w:ascii="Times New Roman" w:cs="Times New Roman" w:eastAsia="Times New Roman" w:hAnsi="Times New Roman"/>
                <w:sz w:val="22"/>
                <w:szCs w:val="22"/>
                <w:color w:val="auto"/>
              </w:rPr>
              <w:t>Shares</w:t>
            </w:r>
          </w:p>
        </w:tc>
        <w:tc>
          <w:tcPr>
            <w:tcW w:w="13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1360" w:type="dxa"/>
            <w:vAlign w:val="bottom"/>
          </w:tcPr>
          <w:p>
            <w:pPr>
              <w:spacing w:after="0"/>
              <w:rPr>
                <w:sz w:val="21"/>
                <w:szCs w:val="21"/>
                <w:color w:val="auto"/>
              </w:rPr>
            </w:pPr>
          </w:p>
        </w:tc>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Share Exchange</w:t>
            </w:r>
          </w:p>
        </w:tc>
        <w:tc>
          <w:tcPr>
            <w:tcW w:w="14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Sportradar</w:t>
            </w:r>
          </w:p>
        </w:tc>
        <w:tc>
          <w:tcPr>
            <w:tcW w:w="2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36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w w:val="96"/>
              </w:rPr>
              <w:t>Contribution of</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Ordinary</w:t>
            </w:r>
          </w:p>
        </w:tc>
        <w:tc>
          <w:tcPr>
            <w:tcW w:w="136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09/14/2021</w:t>
            </w:r>
          </w:p>
        </w:tc>
        <w:tc>
          <w:tcPr>
            <w:tcW w:w="1580" w:type="dxa"/>
            <w:vAlign w:val="bottom"/>
            <w:vMerge w:val="continue"/>
          </w:tcPr>
          <w:p>
            <w:pPr>
              <w:spacing w:after="0"/>
              <w:rPr>
                <w:sz w:val="18"/>
                <w:szCs w:val="18"/>
                <w:color w:val="auto"/>
              </w:rPr>
            </w:pPr>
          </w:p>
        </w:tc>
        <w:tc>
          <w:tcPr>
            <w:tcW w:w="1480" w:type="dxa"/>
            <w:vAlign w:val="bottom"/>
            <w:vMerge w:val="continue"/>
          </w:tcPr>
          <w:p>
            <w:pPr>
              <w:spacing w:after="0"/>
              <w:rPr>
                <w:sz w:val="18"/>
                <w:szCs w:val="18"/>
                <w:color w:val="auto"/>
              </w:rPr>
            </w:pPr>
          </w:p>
        </w:tc>
        <w:tc>
          <w:tcPr>
            <w:tcW w:w="2800" w:type="dxa"/>
            <w:vAlign w:val="bottom"/>
          </w:tcPr>
          <w:p>
            <w:pPr>
              <w:jc w:val="right"/>
              <w:ind w:right="312"/>
              <w:spacing w:after="0" w:line="217" w:lineRule="exact"/>
              <w:rPr>
                <w:sz w:val="20"/>
                <w:szCs w:val="20"/>
                <w:color w:val="auto"/>
              </w:rPr>
            </w:pPr>
            <w:r>
              <w:rPr>
                <w:rFonts w:ascii="Times New Roman" w:cs="Times New Roman" w:eastAsia="Times New Roman" w:hAnsi="Times New Roman"/>
                <w:sz w:val="22"/>
                <w:szCs w:val="22"/>
                <w:color w:val="auto"/>
              </w:rPr>
              <w:t>1077941</w:t>
            </w:r>
          </w:p>
        </w:tc>
        <w:tc>
          <w:tcPr>
            <w:tcW w:w="1140" w:type="dxa"/>
            <w:vAlign w:val="bottom"/>
          </w:tcPr>
          <w:p>
            <w:pPr>
              <w:ind w:left="120"/>
              <w:spacing w:after="0" w:line="217" w:lineRule="exact"/>
              <w:rPr>
                <w:sz w:val="20"/>
                <w:szCs w:val="20"/>
                <w:color w:val="auto"/>
              </w:rPr>
            </w:pPr>
            <w:r>
              <w:rPr>
                <w:rFonts w:ascii="Times New Roman" w:cs="Times New Roman" w:eastAsia="Times New Roman" w:hAnsi="Times New Roman"/>
                <w:sz w:val="22"/>
                <w:szCs w:val="22"/>
                <w:color w:val="auto"/>
                <w:w w:val="99"/>
              </w:rPr>
              <w:t>09/14/2021</w:t>
            </w: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1360" w:type="dxa"/>
            <w:vAlign w:val="bottom"/>
          </w:tcPr>
          <w:p>
            <w:pPr>
              <w:spacing w:after="0"/>
              <w:rPr>
                <w:sz w:val="21"/>
                <w:szCs w:val="21"/>
                <w:color w:val="auto"/>
              </w:rPr>
            </w:pPr>
          </w:p>
        </w:tc>
        <w:tc>
          <w:tcPr>
            <w:tcW w:w="15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Transaction</w:t>
            </w:r>
          </w:p>
        </w:tc>
        <w:tc>
          <w:tcPr>
            <w:tcW w:w="14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Group AG</w:t>
            </w:r>
          </w:p>
        </w:tc>
        <w:tc>
          <w:tcPr>
            <w:tcW w:w="2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3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0" w:type="dxa"/>
            <w:vAlign w:val="bottom"/>
          </w:tcPr>
          <w:p>
            <w:pPr>
              <w:spacing w:after="0"/>
              <w:rPr>
                <w:sz w:val="1"/>
                <w:szCs w:val="1"/>
                <w:color w:val="auto"/>
              </w:rPr>
            </w:pPr>
          </w:p>
        </w:tc>
      </w:tr>
      <w:tr>
        <w:trPr>
          <w:trHeight w:val="66"/>
        </w:trPr>
        <w:tc>
          <w:tcPr>
            <w:tcW w:w="1120" w:type="dxa"/>
            <w:vAlign w:val="bottom"/>
            <w:vMerge w:val="continue"/>
          </w:tcPr>
          <w:p>
            <w:pPr>
              <w:spacing w:after="0"/>
              <w:rPr>
                <w:sz w:val="5"/>
                <w:szCs w:val="5"/>
                <w:color w:val="auto"/>
              </w:rPr>
            </w:pPr>
          </w:p>
        </w:tc>
        <w:tc>
          <w:tcPr>
            <w:tcW w:w="136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480" w:type="dxa"/>
            <w:vAlign w:val="bottom"/>
          </w:tcPr>
          <w:p>
            <w:pPr>
              <w:spacing w:after="0"/>
              <w:rPr>
                <w:sz w:val="5"/>
                <w:szCs w:val="5"/>
                <w:color w:val="auto"/>
              </w:rPr>
            </w:pPr>
          </w:p>
        </w:tc>
        <w:tc>
          <w:tcPr>
            <w:tcW w:w="2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-804545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-306705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03/25/2024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12/12/2023</w:t>
      </w:r>
    </w:p>
    <w:p>
      <w:pPr>
        <w:spacing w:after="0" w:line="623" w:lineRule="exact"/>
        <w:rPr>
          <w:sz w:val="20"/>
          <w:szCs w:val="20"/>
          <w:color w:val="auto"/>
        </w:rPr>
      </w:pPr>
    </w:p>
    <w:p>
      <w:pPr>
        <w:sectPr>
          <w:pgSz w:w="11900" w:h="16838" w:orient="portrait"/>
          <w:cols w:equalWidth="0" w:num="2">
            <w:col w:w="5380" w:space="500"/>
            <w:col w:w="53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140" w:type="dxa"/>
            <w:vAlign w:val="bottom"/>
          </w:tcPr>
          <w:p>
            <w:pPr>
              <w:ind w:left="2500"/>
              <w:spacing w:after="0"/>
              <w:rPr>
                <w:sz w:val="20"/>
                <w:szCs w:val="20"/>
                <w:color w:val="auto"/>
              </w:rPr>
            </w:pPr>
            <w:r>
              <w:rPr>
                <w:rFonts w:ascii="Times New Roman" w:cs="Times New Roman" w:eastAsia="Times New Roman" w:hAnsi="Times New Roman"/>
                <w:sz w:val="22"/>
                <w:szCs w:val="22"/>
                <w:color w:val="auto"/>
                <w:w w:val="97"/>
              </w:rPr>
              <w:t>/s/ UBS Financial Services Inc, as attorney-in-fact for</w:t>
            </w:r>
          </w:p>
        </w:tc>
        <w:tc>
          <w:tcPr>
            <w:tcW w:w="0" w:type="dxa"/>
            <w:vAlign w:val="bottom"/>
          </w:tcPr>
          <w:p>
            <w:pPr>
              <w:spacing w:after="0"/>
              <w:rPr>
                <w:sz w:val="1"/>
                <w:szCs w:val="1"/>
                <w:color w:val="auto"/>
              </w:rPr>
            </w:pPr>
          </w:p>
        </w:tc>
      </w:tr>
      <w:tr>
        <w:trPr>
          <w:trHeight w:val="161"/>
        </w:trPr>
        <w:tc>
          <w:tcPr>
            <w:tcW w:w="3340" w:type="dxa"/>
            <w:vAlign w:val="bottom"/>
            <w:vMerge w:val="continue"/>
          </w:tcPr>
          <w:p>
            <w:pPr>
              <w:spacing w:after="0"/>
              <w:rPr>
                <w:sz w:val="13"/>
                <w:szCs w:val="13"/>
                <w:color w:val="auto"/>
              </w:rPr>
            </w:pPr>
          </w:p>
        </w:tc>
        <w:tc>
          <w:tcPr>
            <w:tcW w:w="7140" w:type="dxa"/>
            <w:vAlign w:val="bottom"/>
            <w:vMerge w:val="restart"/>
          </w:tcPr>
          <w:p>
            <w:pPr>
              <w:ind w:left="2500"/>
              <w:spacing w:after="0"/>
              <w:rPr>
                <w:sz w:val="20"/>
                <w:szCs w:val="20"/>
                <w:color w:val="auto"/>
              </w:rPr>
            </w:pPr>
            <w:r>
              <w:rPr>
                <w:rFonts w:ascii="Times New Roman" w:cs="Times New Roman" w:eastAsia="Times New Roman" w:hAnsi="Times New Roman"/>
                <w:sz w:val="22"/>
                <w:szCs w:val="22"/>
                <w:color w:val="auto"/>
              </w:rPr>
              <w:t>Carsten Koerl</w:t>
            </w: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7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2024-03-25T15:23:56Z</dcterms:created>
  <dcterms:modified xsi:type="dcterms:W3CDTF">2024-03-25T15:23:56Z</dcterms:modified>
</cp:coreProperties>
</file>