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Sportradar Group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H8088L103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20" w:right="9600" w:hanging="2"/>
        <w:spacing w:after="0" w:line="224" w:lineRule="exact"/>
        <w:tabs>
          <w:tab w:leader="none" w:pos="62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620" w:hanging="20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This information required in the remainder of this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
        </w:trPr>
        <w:tc>
          <w:tcPr>
            <w:tcW w:w="224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40"/>
              <w:spacing w:after="0"/>
              <w:rPr>
                <w:sz w:val="20"/>
                <w:szCs w:val="20"/>
                <w:color w:val="auto"/>
              </w:rPr>
            </w:pPr>
            <w:r>
              <w:rPr>
                <w:rFonts w:ascii="Arial" w:cs="Arial" w:eastAsia="Arial" w:hAnsi="Arial"/>
                <w:sz w:val="18"/>
                <w:szCs w:val="18"/>
                <w:b w:val="1"/>
                <w:bCs w:val="1"/>
                <w:color w:val="auto"/>
                <w:w w:val="95"/>
              </w:rPr>
              <w:t>SCHEDULE 13G</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H8088L103</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32320" cy="5023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212" w:lineRule="exact"/>
        <w:rPr>
          <w:sz w:val="20"/>
          <w:szCs w:val="20"/>
          <w:color w:val="auto"/>
        </w:rPr>
      </w:pPr>
    </w:p>
    <w:p>
      <w:pPr>
        <w:ind w:left="700" w:hanging="406"/>
        <w:spacing w:after="0"/>
        <w:tabs>
          <w:tab w:leader="none" w:pos="7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Radcliff SR I LLC</w:t>
      </w:r>
    </w:p>
    <w:p>
      <w:pPr>
        <w:spacing w:after="0" w:line="40" w:lineRule="exact"/>
        <w:rPr>
          <w:sz w:val="20"/>
          <w:szCs w:val="20"/>
          <w:color w:val="auto"/>
        </w:rPr>
      </w:pPr>
    </w:p>
    <w:p>
      <w:pPr>
        <w:ind w:left="700" w:hanging="406"/>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940" w:hanging="250"/>
        <w:spacing w:after="0" w:line="207" w:lineRule="exact"/>
        <w:tabs>
          <w:tab w:leader="none" w:pos="9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40" w:hanging="250"/>
        <w:spacing w:after="0" w:line="207" w:lineRule="exact"/>
        <w:tabs>
          <w:tab w:leader="none" w:pos="9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700" w:hanging="406"/>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700" w:hanging="406"/>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36"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8"/>
              </w:rPr>
              <w:t>NUMBER OF</w:t>
            </w:r>
          </w:p>
        </w:tc>
        <w:tc>
          <w:tcPr>
            <w:tcW w:w="560" w:type="dxa"/>
            <w:vAlign w:val="bottom"/>
            <w:tcBorders>
              <w:bottom w:val="single" w:sz="8" w:color="auto"/>
            </w:tcBorders>
          </w:tcPr>
          <w:p>
            <w:pPr>
              <w:spacing w:after="0"/>
              <w:rPr>
                <w:sz w:val="20"/>
                <w:szCs w:val="20"/>
                <w:color w:val="auto"/>
              </w:rPr>
            </w:pPr>
          </w:p>
        </w:tc>
        <w:tc>
          <w:tcPr>
            <w:tcW w:w="9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15,265,392</w:t>
            </w:r>
          </w:p>
        </w:tc>
        <w:tc>
          <w:tcPr>
            <w:tcW w:w="0" w:type="dxa"/>
            <w:vAlign w:val="bottom"/>
          </w:tcPr>
          <w:p>
            <w:pPr>
              <w:spacing w:after="0"/>
              <w:rPr>
                <w:sz w:val="1"/>
                <w:szCs w:val="1"/>
                <w:color w:val="auto"/>
              </w:rPr>
            </w:pPr>
          </w:p>
        </w:tc>
      </w:tr>
      <w:tr>
        <w:trPr>
          <w:trHeight w:val="215"/>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4"/>
              </w:rPr>
              <w:t>SHARES</w:t>
            </w: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91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9"/>
              </w:rPr>
              <w:t>BENEFICIALLY</w:t>
            </w:r>
          </w:p>
        </w:tc>
        <w:tc>
          <w:tcPr>
            <w:tcW w:w="560" w:type="dxa"/>
            <w:vAlign w:val="bottom"/>
          </w:tcPr>
          <w:p>
            <w:pPr>
              <w:spacing w:after="0"/>
              <w:rPr>
                <w:sz w:val="18"/>
                <w:szCs w:val="18"/>
                <w:color w:val="auto"/>
              </w:rPr>
            </w:pPr>
          </w:p>
        </w:tc>
        <w:tc>
          <w:tcPr>
            <w:tcW w:w="9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4"/>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9"/>
              </w:rPr>
              <w:t>OWNED BY</w:t>
            </w:r>
          </w:p>
        </w:tc>
        <w:tc>
          <w:tcPr>
            <w:tcW w:w="56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0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9"/>
              </w:rPr>
              <w:t>EACH</w:t>
            </w:r>
          </w:p>
        </w:tc>
        <w:tc>
          <w:tcPr>
            <w:tcW w:w="56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rPr>
              <w:t>7</w:t>
            </w:r>
          </w:p>
        </w:tc>
        <w:tc>
          <w:tcPr>
            <w:tcW w:w="9100" w:type="dxa"/>
            <w:vAlign w:val="bottom"/>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2"/>
              </w:rPr>
              <w:t>PERSON</w:t>
            </w:r>
          </w:p>
        </w:tc>
        <w:tc>
          <w:tcPr>
            <w:tcW w:w="5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b w:val="1"/>
                <w:bCs w:val="1"/>
                <w:color w:val="auto"/>
              </w:rPr>
              <w:t>15,265,392</w:t>
            </w:r>
          </w:p>
        </w:tc>
        <w:tc>
          <w:tcPr>
            <w:tcW w:w="0" w:type="dxa"/>
            <w:vAlign w:val="bottom"/>
          </w:tcPr>
          <w:p>
            <w:pPr>
              <w:spacing w:after="0"/>
              <w:rPr>
                <w:sz w:val="1"/>
                <w:szCs w:val="1"/>
                <w:color w:val="auto"/>
              </w:rPr>
            </w:pPr>
          </w:p>
        </w:tc>
      </w:tr>
      <w:tr>
        <w:trPr>
          <w:trHeight w:val="35"/>
        </w:trPr>
        <w:tc>
          <w:tcPr>
            <w:tcW w:w="1400" w:type="dxa"/>
            <w:vAlign w:val="bottom"/>
            <w:vMerge w:val="restart"/>
          </w:tcPr>
          <w:p>
            <w:pPr>
              <w:jc w:val="center"/>
              <w:ind w:right="50"/>
              <w:spacing w:after="0"/>
              <w:rPr>
                <w:sz w:val="20"/>
                <w:szCs w:val="20"/>
                <w:color w:val="auto"/>
              </w:rPr>
            </w:pPr>
            <w:r>
              <w:rPr>
                <w:rFonts w:ascii="Arial" w:cs="Arial" w:eastAsia="Arial" w:hAnsi="Arial"/>
                <w:sz w:val="18"/>
                <w:szCs w:val="18"/>
                <w:color w:val="auto"/>
                <w:w w:val="99"/>
              </w:rPr>
              <w:t>WITH</w:t>
            </w:r>
          </w:p>
        </w:tc>
        <w:tc>
          <w:tcPr>
            <w:tcW w:w="560" w:type="dxa"/>
            <w:vAlign w:val="bottom"/>
            <w:tcBorders>
              <w:bottom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00" w:type="dxa"/>
            <w:vAlign w:val="bottom"/>
            <w:vMerge w:val="continue"/>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10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700" w:hanging="406"/>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15,265,392</w:t>
      </w:r>
    </w:p>
    <w:p>
      <w:pPr>
        <w:spacing w:after="0" w:line="40" w:lineRule="exact"/>
        <w:rPr>
          <w:sz w:val="20"/>
          <w:szCs w:val="20"/>
          <w:color w:val="auto"/>
        </w:rPr>
      </w:pPr>
    </w:p>
    <w:p>
      <w:pPr>
        <w:ind w:left="700" w:hanging="451"/>
        <w:spacing w:after="0"/>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8" w:lineRule="exact"/>
        <w:rPr>
          <w:rFonts w:ascii="Arial" w:cs="Arial" w:eastAsia="Arial" w:hAnsi="Arial"/>
          <w:sz w:val="18"/>
          <w:szCs w:val="18"/>
          <w:b w:val="1"/>
          <w:bCs w:val="1"/>
          <w:color w:val="auto"/>
        </w:rPr>
      </w:pPr>
    </w:p>
    <w:p>
      <w:pPr>
        <w:ind w:left="7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700" w:hanging="446"/>
        <w:spacing w:after="0"/>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7.43%</w:t>
      </w:r>
    </w:p>
    <w:p>
      <w:pPr>
        <w:spacing w:after="0" w:line="40" w:lineRule="exact"/>
        <w:rPr>
          <w:rFonts w:ascii="Arial" w:cs="Arial" w:eastAsia="Arial" w:hAnsi="Arial"/>
          <w:sz w:val="18"/>
          <w:szCs w:val="18"/>
          <w:b w:val="1"/>
          <w:bCs w:val="1"/>
          <w:color w:val="auto"/>
        </w:rPr>
      </w:pPr>
    </w:p>
    <w:p>
      <w:pPr>
        <w:ind w:left="700" w:hanging="451"/>
        <w:spacing w:after="0"/>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
        </w:trPr>
        <w:tc>
          <w:tcPr>
            <w:tcW w:w="224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40"/>
              <w:spacing w:after="0"/>
              <w:rPr>
                <w:sz w:val="20"/>
                <w:szCs w:val="20"/>
                <w:color w:val="auto"/>
              </w:rPr>
            </w:pPr>
            <w:r>
              <w:rPr>
                <w:rFonts w:ascii="Arial" w:cs="Arial" w:eastAsia="Arial" w:hAnsi="Arial"/>
                <w:sz w:val="18"/>
                <w:szCs w:val="18"/>
                <w:b w:val="1"/>
                <w:bCs w:val="1"/>
                <w:color w:val="auto"/>
                <w:w w:val="95"/>
              </w:rPr>
              <w:t>SCHEDULE 13G</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H8088L103</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32320" cy="5023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212" w:lineRule="exact"/>
        <w:rPr>
          <w:sz w:val="20"/>
          <w:szCs w:val="20"/>
          <w:color w:val="auto"/>
        </w:rPr>
      </w:pPr>
    </w:p>
    <w:p>
      <w:pPr>
        <w:ind w:left="700" w:hanging="406"/>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Radcliff SPV Manager LLC</w:t>
      </w:r>
    </w:p>
    <w:p>
      <w:pPr>
        <w:spacing w:after="0" w:line="40" w:lineRule="exact"/>
        <w:rPr>
          <w:sz w:val="20"/>
          <w:szCs w:val="20"/>
          <w:color w:val="auto"/>
        </w:rPr>
      </w:pPr>
    </w:p>
    <w:p>
      <w:pPr>
        <w:ind w:left="700" w:hanging="406"/>
        <w:spacing w:after="0"/>
        <w:tabs>
          <w:tab w:leader="none" w:pos="7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940" w:hanging="250"/>
        <w:spacing w:after="0" w:line="207" w:lineRule="exact"/>
        <w:tabs>
          <w:tab w:leader="none" w:pos="94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40" w:hanging="250"/>
        <w:spacing w:after="0" w:line="207" w:lineRule="exact"/>
        <w:tabs>
          <w:tab w:leader="none" w:pos="94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700" w:hanging="406"/>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700" w:hanging="406"/>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36" w:lineRule="exact"/>
        <w:rPr>
          <w:rFonts w:ascii="Arial" w:cs="Arial" w:eastAsia="Arial" w:hAnsi="Arial"/>
          <w:sz w:val="18"/>
          <w:szCs w:val="18"/>
          <w:b w:val="1"/>
          <w:bCs w:val="1"/>
          <w:color w:val="auto"/>
        </w:rPr>
      </w:pPr>
    </w:p>
    <w:p>
      <w:pPr>
        <w:ind w:left="1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6"/>
              </w:rPr>
              <w:t>NUMBER OF</w:t>
            </w:r>
          </w:p>
        </w:tc>
        <w:tc>
          <w:tcPr>
            <w:tcW w:w="54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15,265,392</w:t>
            </w:r>
          </w:p>
        </w:tc>
        <w:tc>
          <w:tcPr>
            <w:tcW w:w="0" w:type="dxa"/>
            <w:vAlign w:val="bottom"/>
          </w:tcPr>
          <w:p>
            <w:pPr>
              <w:spacing w:after="0"/>
              <w:rPr>
                <w:sz w:val="1"/>
                <w:szCs w:val="1"/>
                <w:color w:val="auto"/>
              </w:rPr>
            </w:pPr>
          </w:p>
        </w:tc>
      </w:tr>
      <w:tr>
        <w:trPr>
          <w:trHeight w:val="224"/>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6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5"/>
              </w:rPr>
              <w:t>EACH</w:t>
            </w:r>
          </w:p>
        </w:tc>
        <w:tc>
          <w:tcPr>
            <w:tcW w:w="54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6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3"/>
              </w:rPr>
              <w:t>REPORTING</w:t>
            </w:r>
          </w:p>
        </w:tc>
        <w:tc>
          <w:tcPr>
            <w:tcW w:w="5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54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146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WITH</w:t>
            </w:r>
          </w:p>
        </w:tc>
        <w:tc>
          <w:tcPr>
            <w:tcW w:w="54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60" w:type="dxa"/>
            <w:vAlign w:val="bottom"/>
            <w:vMerge w:val="continue"/>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15,265,392</w:t>
      </w:r>
    </w:p>
    <w:p>
      <w:pPr>
        <w:spacing w:after="0" w:line="40" w:lineRule="exact"/>
        <w:rPr>
          <w:sz w:val="20"/>
          <w:szCs w:val="20"/>
          <w:color w:val="auto"/>
        </w:rPr>
      </w:pPr>
    </w:p>
    <w:p>
      <w:pPr>
        <w:ind w:left="700" w:hanging="406"/>
        <w:spacing w:after="0"/>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15,265,392</w:t>
      </w:r>
    </w:p>
    <w:p>
      <w:pPr>
        <w:spacing w:after="0" w:line="40" w:lineRule="exact"/>
        <w:rPr>
          <w:sz w:val="20"/>
          <w:szCs w:val="20"/>
          <w:color w:val="auto"/>
        </w:rPr>
      </w:pPr>
    </w:p>
    <w:p>
      <w:pPr>
        <w:ind w:left="700" w:hanging="451"/>
        <w:spacing w:after="0"/>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8" w:lineRule="exact"/>
        <w:rPr>
          <w:rFonts w:ascii="Arial" w:cs="Arial" w:eastAsia="Arial" w:hAnsi="Arial"/>
          <w:sz w:val="18"/>
          <w:szCs w:val="18"/>
          <w:b w:val="1"/>
          <w:bCs w:val="1"/>
          <w:color w:val="auto"/>
        </w:rPr>
      </w:pPr>
    </w:p>
    <w:p>
      <w:pPr>
        <w:ind w:left="7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700" w:hanging="446"/>
        <w:spacing w:after="0"/>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7.43%</w:t>
      </w:r>
    </w:p>
    <w:p>
      <w:pPr>
        <w:spacing w:after="0" w:line="40" w:lineRule="exact"/>
        <w:rPr>
          <w:rFonts w:ascii="Arial" w:cs="Arial" w:eastAsia="Arial" w:hAnsi="Arial"/>
          <w:sz w:val="18"/>
          <w:szCs w:val="18"/>
          <w:b w:val="1"/>
          <w:bCs w:val="1"/>
          <w:color w:val="auto"/>
        </w:rPr>
      </w:pPr>
    </w:p>
    <w:p>
      <w:pPr>
        <w:ind w:left="700" w:hanging="451"/>
        <w:spacing w:after="0"/>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
        </w:trPr>
        <w:tc>
          <w:tcPr>
            <w:tcW w:w="224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40"/>
              <w:spacing w:after="0"/>
              <w:rPr>
                <w:sz w:val="20"/>
                <w:szCs w:val="20"/>
                <w:color w:val="auto"/>
              </w:rPr>
            </w:pPr>
            <w:r>
              <w:rPr>
                <w:rFonts w:ascii="Arial" w:cs="Arial" w:eastAsia="Arial" w:hAnsi="Arial"/>
                <w:sz w:val="18"/>
                <w:szCs w:val="18"/>
                <w:b w:val="1"/>
                <w:bCs w:val="1"/>
                <w:color w:val="auto"/>
                <w:w w:val="95"/>
              </w:rPr>
              <w:t>SCHEDULE 13G</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H8088L103</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32320" cy="5023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212" w:lineRule="exact"/>
        <w:rPr>
          <w:sz w:val="20"/>
          <w:szCs w:val="20"/>
          <w:color w:val="auto"/>
        </w:rPr>
      </w:pPr>
    </w:p>
    <w:p>
      <w:pPr>
        <w:ind w:left="700" w:hanging="406"/>
        <w:spacing w:after="0"/>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Eli Goldstein</w:t>
      </w:r>
    </w:p>
    <w:p>
      <w:pPr>
        <w:spacing w:after="0" w:line="40" w:lineRule="exact"/>
        <w:rPr>
          <w:sz w:val="20"/>
          <w:szCs w:val="20"/>
          <w:color w:val="auto"/>
        </w:rPr>
      </w:pPr>
    </w:p>
    <w:p>
      <w:pPr>
        <w:ind w:left="700" w:hanging="406"/>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940" w:hanging="250"/>
        <w:spacing w:after="0" w:line="207" w:lineRule="exact"/>
        <w:tabs>
          <w:tab w:leader="none" w:pos="94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40" w:hanging="250"/>
        <w:spacing w:after="0" w:line="207" w:lineRule="exact"/>
        <w:tabs>
          <w:tab w:leader="none" w:pos="94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700" w:hanging="406"/>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700" w:hanging="406"/>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36" w:lineRule="exact"/>
        <w:rPr>
          <w:rFonts w:ascii="Arial" w:cs="Arial" w:eastAsia="Arial" w:hAnsi="Arial"/>
          <w:sz w:val="18"/>
          <w:szCs w:val="18"/>
          <w:b w:val="1"/>
          <w:bCs w:val="1"/>
          <w:color w:val="auto"/>
        </w:rPr>
      </w:pPr>
    </w:p>
    <w:p>
      <w:pPr>
        <w:ind w:left="1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6"/>
              </w:rPr>
              <w:t>NUMBER OF</w:t>
            </w:r>
          </w:p>
        </w:tc>
        <w:tc>
          <w:tcPr>
            <w:tcW w:w="54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15,265,392</w:t>
            </w:r>
          </w:p>
        </w:tc>
        <w:tc>
          <w:tcPr>
            <w:tcW w:w="0" w:type="dxa"/>
            <w:vAlign w:val="bottom"/>
          </w:tcPr>
          <w:p>
            <w:pPr>
              <w:spacing w:after="0"/>
              <w:rPr>
                <w:sz w:val="1"/>
                <w:szCs w:val="1"/>
                <w:color w:val="auto"/>
              </w:rPr>
            </w:pPr>
          </w:p>
        </w:tc>
      </w:tr>
      <w:tr>
        <w:trPr>
          <w:trHeight w:val="224"/>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6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5"/>
              </w:rPr>
              <w:t>EACH</w:t>
            </w:r>
          </w:p>
        </w:tc>
        <w:tc>
          <w:tcPr>
            <w:tcW w:w="54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6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3"/>
              </w:rPr>
              <w:t>REPORTING</w:t>
            </w:r>
          </w:p>
        </w:tc>
        <w:tc>
          <w:tcPr>
            <w:tcW w:w="5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54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146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WITH</w:t>
            </w:r>
          </w:p>
        </w:tc>
        <w:tc>
          <w:tcPr>
            <w:tcW w:w="54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60" w:type="dxa"/>
            <w:vAlign w:val="bottom"/>
            <w:vMerge w:val="continue"/>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15,265,392</w:t>
      </w:r>
    </w:p>
    <w:p>
      <w:pPr>
        <w:spacing w:after="0" w:line="40" w:lineRule="exact"/>
        <w:rPr>
          <w:sz w:val="20"/>
          <w:szCs w:val="20"/>
          <w:color w:val="auto"/>
        </w:rPr>
      </w:pPr>
    </w:p>
    <w:p>
      <w:pPr>
        <w:ind w:left="700" w:hanging="406"/>
        <w:spacing w:after="0"/>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15,265,392</w:t>
      </w:r>
    </w:p>
    <w:p>
      <w:pPr>
        <w:spacing w:after="0" w:line="40" w:lineRule="exact"/>
        <w:rPr>
          <w:sz w:val="20"/>
          <w:szCs w:val="20"/>
          <w:color w:val="auto"/>
        </w:rPr>
      </w:pPr>
    </w:p>
    <w:p>
      <w:pPr>
        <w:ind w:left="700" w:hanging="451"/>
        <w:spacing w:after="0"/>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8" w:lineRule="exact"/>
        <w:rPr>
          <w:rFonts w:ascii="Arial" w:cs="Arial" w:eastAsia="Arial" w:hAnsi="Arial"/>
          <w:sz w:val="18"/>
          <w:szCs w:val="18"/>
          <w:b w:val="1"/>
          <w:bCs w:val="1"/>
          <w:color w:val="auto"/>
        </w:rPr>
      </w:pPr>
    </w:p>
    <w:p>
      <w:pPr>
        <w:ind w:left="7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700" w:hanging="446"/>
        <w:spacing w:after="0"/>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7.43%</w:t>
      </w:r>
    </w:p>
    <w:p>
      <w:pPr>
        <w:spacing w:after="0" w:line="40" w:lineRule="exact"/>
        <w:rPr>
          <w:rFonts w:ascii="Arial" w:cs="Arial" w:eastAsia="Arial" w:hAnsi="Arial"/>
          <w:sz w:val="18"/>
          <w:szCs w:val="18"/>
          <w:b w:val="1"/>
          <w:bCs w:val="1"/>
          <w:color w:val="auto"/>
        </w:rPr>
      </w:pPr>
    </w:p>
    <w:p>
      <w:pPr>
        <w:ind w:left="700" w:hanging="451"/>
        <w:spacing w:after="0"/>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
        </w:trPr>
        <w:tc>
          <w:tcPr>
            <w:tcW w:w="224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40"/>
              <w:spacing w:after="0"/>
              <w:rPr>
                <w:sz w:val="20"/>
                <w:szCs w:val="20"/>
                <w:color w:val="auto"/>
              </w:rPr>
            </w:pPr>
            <w:r>
              <w:rPr>
                <w:rFonts w:ascii="Arial" w:cs="Arial" w:eastAsia="Arial" w:hAnsi="Arial"/>
                <w:sz w:val="18"/>
                <w:szCs w:val="18"/>
                <w:b w:val="1"/>
                <w:bCs w:val="1"/>
                <w:color w:val="auto"/>
                <w:w w:val="95"/>
              </w:rPr>
              <w:t>SCHEDULE 13G</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H8088L103</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32320" cy="5023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212" w:lineRule="exact"/>
        <w:rPr>
          <w:sz w:val="20"/>
          <w:szCs w:val="20"/>
          <w:color w:val="auto"/>
        </w:rPr>
      </w:pPr>
    </w:p>
    <w:p>
      <w:pPr>
        <w:ind w:left="700" w:hanging="406"/>
        <w:spacing w:after="0"/>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Evan Morgan</w:t>
      </w:r>
    </w:p>
    <w:p>
      <w:pPr>
        <w:spacing w:after="0" w:line="40" w:lineRule="exact"/>
        <w:rPr>
          <w:sz w:val="20"/>
          <w:szCs w:val="20"/>
          <w:color w:val="auto"/>
        </w:rPr>
      </w:pPr>
    </w:p>
    <w:p>
      <w:pPr>
        <w:ind w:left="700" w:hanging="406"/>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940" w:hanging="250"/>
        <w:spacing w:after="0" w:line="207" w:lineRule="exact"/>
        <w:tabs>
          <w:tab w:leader="none" w:pos="94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40" w:hanging="250"/>
        <w:spacing w:after="0" w:line="207" w:lineRule="exact"/>
        <w:tabs>
          <w:tab w:leader="none" w:pos="94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700" w:hanging="406"/>
        <w:spacing w:after="0"/>
        <w:tabs>
          <w:tab w:leader="none" w:pos="7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700" w:hanging="406"/>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USA</w:t>
      </w:r>
    </w:p>
    <w:p>
      <w:pPr>
        <w:spacing w:after="0" w:line="36" w:lineRule="exact"/>
        <w:rPr>
          <w:rFonts w:ascii="Arial" w:cs="Arial" w:eastAsia="Arial" w:hAnsi="Arial"/>
          <w:sz w:val="18"/>
          <w:szCs w:val="18"/>
          <w:b w:val="1"/>
          <w:bCs w:val="1"/>
          <w:color w:val="auto"/>
        </w:rPr>
      </w:pPr>
    </w:p>
    <w:p>
      <w:pPr>
        <w:ind w:left="1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6"/>
              </w:rPr>
              <w:t>NUMBER OF</w:t>
            </w:r>
          </w:p>
        </w:tc>
        <w:tc>
          <w:tcPr>
            <w:tcW w:w="54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15,265,392</w:t>
            </w:r>
          </w:p>
        </w:tc>
        <w:tc>
          <w:tcPr>
            <w:tcW w:w="0" w:type="dxa"/>
            <w:vAlign w:val="bottom"/>
          </w:tcPr>
          <w:p>
            <w:pPr>
              <w:spacing w:after="0"/>
              <w:rPr>
                <w:sz w:val="1"/>
                <w:szCs w:val="1"/>
                <w:color w:val="auto"/>
              </w:rPr>
            </w:pPr>
          </w:p>
        </w:tc>
      </w:tr>
      <w:tr>
        <w:trPr>
          <w:trHeight w:val="224"/>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6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5"/>
              </w:rPr>
              <w:t>EACH</w:t>
            </w:r>
          </w:p>
        </w:tc>
        <w:tc>
          <w:tcPr>
            <w:tcW w:w="54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6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3"/>
              </w:rPr>
              <w:t>REPORTING</w:t>
            </w:r>
          </w:p>
        </w:tc>
        <w:tc>
          <w:tcPr>
            <w:tcW w:w="5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54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146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WITH</w:t>
            </w:r>
          </w:p>
        </w:tc>
        <w:tc>
          <w:tcPr>
            <w:tcW w:w="54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60" w:type="dxa"/>
            <w:vAlign w:val="bottom"/>
            <w:vMerge w:val="continue"/>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15,265,392</w:t>
      </w:r>
    </w:p>
    <w:p>
      <w:pPr>
        <w:spacing w:after="0" w:line="40" w:lineRule="exact"/>
        <w:rPr>
          <w:sz w:val="20"/>
          <w:szCs w:val="20"/>
          <w:color w:val="auto"/>
        </w:rPr>
      </w:pPr>
    </w:p>
    <w:p>
      <w:pPr>
        <w:ind w:left="700" w:hanging="406"/>
        <w:spacing w:after="0"/>
        <w:tabs>
          <w:tab w:leader="none" w:pos="7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15,265,392</w:t>
      </w:r>
    </w:p>
    <w:p>
      <w:pPr>
        <w:spacing w:after="0" w:line="40" w:lineRule="exact"/>
        <w:rPr>
          <w:sz w:val="20"/>
          <w:szCs w:val="20"/>
          <w:color w:val="auto"/>
        </w:rPr>
      </w:pPr>
    </w:p>
    <w:p>
      <w:pPr>
        <w:ind w:left="700" w:hanging="451"/>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CHECK BOX IF TE AGGREGATE AMOUNT IN ROW (9) EXCLUDES CERTAIN SHARES (SEE INSTRUCTIONS)</w:t>
      </w:r>
    </w:p>
    <w:p>
      <w:pPr>
        <w:spacing w:after="0" w:line="18" w:lineRule="exact"/>
        <w:rPr>
          <w:rFonts w:ascii="Arial" w:cs="Arial" w:eastAsia="Arial" w:hAnsi="Arial"/>
          <w:sz w:val="18"/>
          <w:szCs w:val="18"/>
          <w:b w:val="1"/>
          <w:bCs w:val="1"/>
          <w:color w:val="auto"/>
        </w:rPr>
      </w:pPr>
    </w:p>
    <w:p>
      <w:pPr>
        <w:ind w:left="7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700" w:hanging="446"/>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7.43%</w:t>
      </w:r>
    </w:p>
    <w:p>
      <w:pPr>
        <w:spacing w:after="0" w:line="40" w:lineRule="exact"/>
        <w:rPr>
          <w:rFonts w:ascii="Arial" w:cs="Arial" w:eastAsia="Arial" w:hAnsi="Arial"/>
          <w:sz w:val="18"/>
          <w:szCs w:val="18"/>
          <w:b w:val="1"/>
          <w:bCs w:val="1"/>
          <w:color w:val="auto"/>
        </w:rPr>
      </w:pPr>
    </w:p>
    <w:p>
      <w:pPr>
        <w:ind w:left="700" w:hanging="451"/>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
        </w:trPr>
        <w:tc>
          <w:tcPr>
            <w:tcW w:w="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SCHEDULE 13G</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CUSIP No. H8088L103</w:t>
            </w:r>
          </w:p>
        </w:tc>
        <w:tc>
          <w:tcPr>
            <w:tcW w:w="212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Name of Issuer:</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Sportradar Group AG</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Feldistrasse 2, St. Gallen, Switzerland</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CH-9000</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Item 2 (a)</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Name of Person Filing:</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Radcliff SR I LLC</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Radcliff SPV Manager LLC</w:t>
            </w: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Eli Goldstein</w:t>
            </w: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Evan Morgan</w:t>
            </w: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Item 2(b)</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Address of Principal Business Offices:</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The address of the principal business office of each of the Reporting Persons is:</w:t>
            </w:r>
          </w:p>
        </w:tc>
        <w:tc>
          <w:tcPr>
            <w:tcW w:w="0" w:type="dxa"/>
            <w:vAlign w:val="bottom"/>
          </w:tcPr>
          <w:p>
            <w:pPr>
              <w:spacing w:after="0"/>
              <w:rPr>
                <w:sz w:val="1"/>
                <w:szCs w:val="1"/>
                <w:color w:val="auto"/>
              </w:rPr>
            </w:pPr>
          </w:p>
        </w:tc>
      </w:tr>
      <w:tr>
        <w:trPr>
          <w:trHeight w:val="42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c/o The Radcliff Companies</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60" w:type="dxa"/>
            <w:vAlign w:val="bottom"/>
            <w:gridSpan w:val="2"/>
          </w:tcPr>
          <w:p>
            <w:pPr>
              <w:ind w:left="280"/>
              <w:spacing w:after="0" w:line="252" w:lineRule="exact"/>
              <w:rPr>
                <w:sz w:val="20"/>
                <w:szCs w:val="20"/>
                <w:color w:val="auto"/>
              </w:rPr>
            </w:pPr>
            <w:r>
              <w:rPr>
                <w:rFonts w:ascii="Arial" w:cs="Arial" w:eastAsia="Arial" w:hAnsi="Arial"/>
                <w:sz w:val="18"/>
                <w:szCs w:val="18"/>
                <w:color w:val="auto"/>
              </w:rPr>
              <w:t>408 Greenwich Street,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tc>
        <w:tc>
          <w:tcPr>
            <w:tcW w:w="6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New York, NY 10013</w:t>
            </w: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w w:val="92"/>
              </w:rPr>
              <w:t>Attention: Eli Goldstein and Evan Morgan</w:t>
            </w: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Item 2(c)</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Citizenship:</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Radcliff SR I LLC- Delaware</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Radcliff SPV Manager LLC- Delaware</w:t>
            </w: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Eli Goldstein- USA</w:t>
            </w: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Evan Morgan- USA</w:t>
            </w: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Item 2(d)</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Title of Class of Securities:</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Class A ordinary shares</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Item 2(e)</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H8088L103</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Page 6 of 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40" w:type="dxa"/>
            <w:vAlign w:val="bottom"/>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980" w:type="dxa"/>
            <w:vAlign w:val="bottom"/>
            <w:vMerge w:val="restart"/>
          </w:tcPr>
          <w:p>
            <w:pPr>
              <w:ind w:left="2140"/>
              <w:spacing w:after="0"/>
              <w:rPr>
                <w:sz w:val="20"/>
                <w:szCs w:val="20"/>
                <w:color w:val="auto"/>
              </w:rPr>
            </w:pPr>
            <w:r>
              <w:rPr>
                <w:rFonts w:ascii="Arial" w:cs="Arial" w:eastAsia="Arial" w:hAnsi="Arial"/>
                <w:sz w:val="18"/>
                <w:szCs w:val="18"/>
                <w:b w:val="1"/>
                <w:bCs w:val="1"/>
                <w:color w:val="auto"/>
              </w:rPr>
              <w:t>SCHEDULE 13G</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1"/>
              </w:rPr>
              <w:t>CUSIP No. H8088L103</w:t>
            </w:r>
          </w:p>
        </w:tc>
        <w:tc>
          <w:tcPr>
            <w:tcW w:w="360" w:type="dxa"/>
            <w:vAlign w:val="bottom"/>
            <w:tcBorders>
              <w:bottom w:val="single" w:sz="8" w:color="auto"/>
              <w:right w:val="single" w:sz="8" w:color="auto"/>
            </w:tcBorders>
          </w:tcPr>
          <w:p>
            <w:pPr>
              <w:spacing w:after="0"/>
              <w:rPr>
                <w:sz w:val="19"/>
                <w:szCs w:val="19"/>
                <w:color w:val="auto"/>
              </w:rPr>
            </w:pPr>
          </w:p>
        </w:tc>
        <w:tc>
          <w:tcPr>
            <w:tcW w:w="8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360" w:type="dxa"/>
            <w:vAlign w:val="bottom"/>
            <w:gridSpan w:val="4"/>
          </w:tcPr>
          <w:p>
            <w:pPr>
              <w:ind w:left="42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(a)</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Broker or dealer registered under Section 15 of the Exchange Act</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(b)</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Bank as defined in Section 3(a)(6) of the Exchange Act</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(c)</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Insurance company as defined in Section 3(a)(19) of the Exchange Act</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(d)</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Investment company registered under Section 8 of the Investment Company Act</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(e)</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An investment adviser in accordance with Rule 13d-1(b)(1)(ii)(E)</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(f)</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An employee benefit plan or endowment fund in accordance with Rule 13d-1(b)(1)(ii)(F)</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(g)</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A parent holding company or control person in accordance with Rule 13d-1(b)(1)(ii)(G)</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(h)</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A savings associations as defined in Section 3(b) of the Federal Deposit Insurance Act</w:t>
            </w: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(i)</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Act</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(j)</w:t>
            </w:r>
          </w:p>
        </w:tc>
        <w:tc>
          <w:tcPr>
            <w:tcW w:w="320" w:type="dxa"/>
            <w:vAlign w:val="bottom"/>
          </w:tcPr>
          <w:p>
            <w:pPr>
              <w:jc w:val="right"/>
              <w:spacing w:after="0"/>
              <w:rPr>
                <w:sz w:val="20"/>
                <w:szCs w:val="20"/>
                <w:color w:val="auto"/>
              </w:rPr>
            </w:pPr>
            <w:r>
              <w:rPr>
                <w:rFonts w:ascii="Arial" w:cs="Arial" w:eastAsia="Arial" w:hAnsi="Arial"/>
                <w:sz w:val="18"/>
                <w:szCs w:val="18"/>
                <w:color w:val="auto"/>
              </w:rPr>
              <w:t>[_]</w:t>
            </w:r>
          </w:p>
        </w:tc>
        <w:tc>
          <w:tcPr>
            <w:tcW w:w="9340" w:type="dxa"/>
            <w:vAlign w:val="bottom"/>
            <w:gridSpan w:val="2"/>
          </w:tcPr>
          <w:p>
            <w:pPr>
              <w:ind w:left="60"/>
              <w:spacing w:after="0"/>
              <w:rPr>
                <w:sz w:val="20"/>
                <w:szCs w:val="20"/>
                <w:color w:val="auto"/>
              </w:rPr>
            </w:pPr>
            <w:r>
              <w:rPr>
                <w:rFonts w:ascii="Arial" w:cs="Arial" w:eastAsia="Arial" w:hAnsi="Arial"/>
                <w:sz w:val="18"/>
                <w:szCs w:val="18"/>
                <w:color w:val="auto"/>
              </w:rPr>
              <w:t>Group, in accordance with Rule 13d-1(b)(1)(ii)(J)</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Radcliff SR I LLC– 15,265,392</w:t>
      </w:r>
    </w:p>
    <w:p>
      <w:pPr>
        <w:spacing w:after="0" w:line="23" w:lineRule="exact"/>
        <w:rPr>
          <w:rFonts w:ascii="Arial" w:cs="Arial" w:eastAsia="Arial" w:hAnsi="Arial"/>
          <w:sz w:val="18"/>
          <w:szCs w:val="18"/>
          <w:color w:val="auto"/>
        </w:rPr>
      </w:pPr>
    </w:p>
    <w:p>
      <w:pPr>
        <w:ind w:left="1960" w:right="6260"/>
        <w:spacing w:after="0" w:line="265" w:lineRule="auto"/>
        <w:rPr>
          <w:rFonts w:ascii="Arial" w:cs="Arial" w:eastAsia="Arial" w:hAnsi="Arial"/>
          <w:sz w:val="18"/>
          <w:szCs w:val="18"/>
          <w:color w:val="auto"/>
        </w:rPr>
      </w:pPr>
      <w:r>
        <w:rPr>
          <w:rFonts w:ascii="Arial" w:cs="Arial" w:eastAsia="Arial" w:hAnsi="Arial"/>
          <w:sz w:val="17"/>
          <w:szCs w:val="17"/>
          <w:color w:val="auto"/>
        </w:rPr>
        <w:t>Radcliff SPV Manager LLC – 15,265,392 Eli Goldstein – 15,265,392</w:t>
      </w:r>
    </w:p>
    <w:p>
      <w:pPr>
        <w:ind w:left="1960"/>
        <w:spacing w:after="0"/>
        <w:rPr>
          <w:rFonts w:ascii="Arial" w:cs="Arial" w:eastAsia="Arial" w:hAnsi="Arial"/>
          <w:sz w:val="18"/>
          <w:szCs w:val="18"/>
          <w:color w:val="auto"/>
        </w:rPr>
      </w:pPr>
      <w:r>
        <w:rPr>
          <w:rFonts w:ascii="Arial" w:cs="Arial" w:eastAsia="Arial" w:hAnsi="Arial"/>
          <w:sz w:val="18"/>
          <w:szCs w:val="18"/>
          <w:color w:val="auto"/>
        </w:rPr>
        <w:t>Evan Morgan – 15,265,392</w:t>
      </w:r>
    </w:p>
    <w:p>
      <w:pPr>
        <w:spacing w:after="0" w:line="210"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Radcliff SR I LLC – 7.43%</w:t>
      </w:r>
    </w:p>
    <w:p>
      <w:pPr>
        <w:spacing w:after="0" w:line="23" w:lineRule="exact"/>
        <w:rPr>
          <w:rFonts w:ascii="Arial" w:cs="Arial" w:eastAsia="Arial" w:hAnsi="Arial"/>
          <w:sz w:val="18"/>
          <w:szCs w:val="18"/>
          <w:color w:val="auto"/>
        </w:rPr>
      </w:pPr>
    </w:p>
    <w:p>
      <w:pPr>
        <w:ind w:left="1960" w:right="6620"/>
        <w:spacing w:after="0" w:line="250" w:lineRule="auto"/>
        <w:rPr>
          <w:rFonts w:ascii="Arial" w:cs="Arial" w:eastAsia="Arial" w:hAnsi="Arial"/>
          <w:sz w:val="18"/>
          <w:szCs w:val="18"/>
          <w:color w:val="auto"/>
        </w:rPr>
      </w:pPr>
      <w:r>
        <w:rPr>
          <w:rFonts w:ascii="Arial" w:cs="Arial" w:eastAsia="Arial" w:hAnsi="Arial"/>
          <w:sz w:val="18"/>
          <w:szCs w:val="18"/>
          <w:color w:val="auto"/>
        </w:rPr>
        <w:t>Radcliff SPV Manager LLC – 7.43% Eli Goldstein – 7.43%</w:t>
      </w:r>
    </w:p>
    <w:p>
      <w:pPr>
        <w:ind w:left="1960"/>
        <w:spacing w:after="0"/>
        <w:rPr>
          <w:rFonts w:ascii="Arial" w:cs="Arial" w:eastAsia="Arial" w:hAnsi="Arial"/>
          <w:sz w:val="18"/>
          <w:szCs w:val="18"/>
          <w:color w:val="auto"/>
        </w:rPr>
      </w:pPr>
      <w:r>
        <w:rPr>
          <w:rFonts w:ascii="Arial" w:cs="Arial" w:eastAsia="Arial" w:hAnsi="Arial"/>
          <w:sz w:val="18"/>
          <w:szCs w:val="18"/>
          <w:color w:val="auto"/>
        </w:rPr>
        <w:t>Evan Morgan – 7.43%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
        </w:trPr>
        <w:tc>
          <w:tcPr>
            <w:tcW w:w="224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40"/>
              <w:spacing w:after="0"/>
              <w:rPr>
                <w:sz w:val="20"/>
                <w:szCs w:val="20"/>
                <w:color w:val="auto"/>
              </w:rPr>
            </w:pPr>
            <w:r>
              <w:rPr>
                <w:rFonts w:ascii="Arial" w:cs="Arial" w:eastAsia="Arial" w:hAnsi="Arial"/>
                <w:sz w:val="18"/>
                <w:szCs w:val="18"/>
                <w:b w:val="1"/>
                <w:bCs w:val="1"/>
                <w:color w:val="auto"/>
                <w:w w:val="95"/>
              </w:rPr>
              <w:t>SCHEDULE 13G</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H8088L103</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940" w:hanging="65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sz w:val="20"/>
          <w:szCs w:val="20"/>
          <w:color w:val="auto"/>
        </w:rPr>
      </w:pPr>
    </w:p>
    <w:p>
      <w:pPr>
        <w:ind w:left="2320" w:hanging="388"/>
        <w:spacing w:after="0"/>
        <w:tabs>
          <w:tab w:leader="none" w:pos="2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Radcliff SR I LLC– 0</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Radcliff SPV Manager LLC – 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Eli Goldstein – 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Evan Morgan – 0</w:t>
      </w:r>
    </w:p>
    <w:p>
      <w:pPr>
        <w:spacing w:after="0" w:line="211" w:lineRule="exact"/>
        <w:rPr>
          <w:sz w:val="20"/>
          <w:szCs w:val="20"/>
          <w:color w:val="auto"/>
        </w:rPr>
      </w:pPr>
    </w:p>
    <w:p>
      <w:pPr>
        <w:ind w:left="1940"/>
        <w:spacing w:after="0"/>
        <w:tabs>
          <w:tab w:leader="none" w:pos="23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Shared power to vote or to direct the vote</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Radcliff SR I LLC – 15,265,392</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Radcliff SPV Manager LLC – 15,265,392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Eli Goldstein – 15,265,392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Evan Morgan – 15,265,392</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Radcliff SR I LLC – 0</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Radcliff SPV Manager LLC – 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Eli Goldstein – 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Evan Morgan – 0</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Radcliff SR I LLC – 15,265,392</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Radcliff SPV Manager LLC – 15,265,392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Eli Goldstein – 15,265,392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Evan Morgan – 15,265,392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288925</wp:posOffset>
            </wp:positionV>
            <wp:extent cx="63093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firstLine="4"/>
        <w:spacing w:after="0" w:line="277" w:lineRule="auto"/>
        <w:tabs>
          <w:tab w:leader="none" w:pos="15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Class A ordinary shares (“Shares”) beneficially owned by the Reporting Persons include 15,265,392 Shares of the Issuer held of record by Radcliff SR I LLC.</w:t>
      </w:r>
    </w:p>
    <w:p>
      <w:pPr>
        <w:spacing w:after="0" w:line="170" w:lineRule="exact"/>
        <w:rPr>
          <w:rFonts w:ascii="Arial" w:cs="Arial" w:eastAsia="Arial" w:hAnsi="Arial"/>
          <w:sz w:val="18"/>
          <w:szCs w:val="18"/>
          <w:color w:val="auto"/>
        </w:rPr>
      </w:pPr>
    </w:p>
    <w:p>
      <w:pPr>
        <w:jc w:val="both"/>
        <w:ind w:left="1280" w:firstLine="4"/>
        <w:spacing w:after="0" w:line="255" w:lineRule="auto"/>
        <w:tabs>
          <w:tab w:leader="none" w:pos="15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Radcliff SPV Manager LLC (the “Managing Member”) is the managing member of Radcliff SR I LLC, and Eli Goldstein and Evan Morgan beneficially own the membership interests in the Managing Member. The Managing Member and Messrs. Goldstein and Morgan share voting and dispositive power over the Shares of the Issuer held by Radcliff SR I LLC</w:t>
      </w:r>
      <w:r>
        <w:rPr>
          <w:rFonts w:ascii="Arial" w:cs="Arial" w:eastAsia="Arial" w:hAnsi="Arial"/>
          <w:sz w:val="18"/>
          <w:szCs w:val="18"/>
          <w:b w:val="1"/>
          <w:bCs w:val="1"/>
          <w:color w:val="auto"/>
        </w:rPr>
        <w:t>.</w:t>
      </w:r>
      <w:r>
        <w:rPr>
          <w:rFonts w:ascii="Arial" w:cs="Arial" w:eastAsia="Arial" w:hAnsi="Arial"/>
          <w:sz w:val="18"/>
          <w:szCs w:val="18"/>
          <w:color w:val="auto"/>
        </w:rPr>
        <w:t xml:space="preserve"> As a result, the Managing Member and Messrs. Goldstein and Morgan may be deemed to beneficially own the Shares beneficially owned by Radcliff SR I LLC. The Managing Member and Messrs. Goldstein and Morgan disclaim beneficial ownership of the Shares beneficially owned by Radcliff SR I LLC, except to the extent of his or its pecuniary interest therein.</w:t>
      </w:r>
    </w:p>
    <w:p>
      <w:pPr>
        <w:spacing w:after="0" w:line="192" w:lineRule="exact"/>
        <w:rPr>
          <w:rFonts w:ascii="Arial" w:cs="Arial" w:eastAsia="Arial" w:hAnsi="Arial"/>
          <w:sz w:val="18"/>
          <w:szCs w:val="18"/>
          <w:color w:val="auto"/>
        </w:rPr>
      </w:pPr>
    </w:p>
    <w:p>
      <w:pPr>
        <w:ind w:left="1280" w:right="20" w:firstLine="4"/>
        <w:spacing w:after="0" w:line="277" w:lineRule="auto"/>
        <w:tabs>
          <w:tab w:leader="none" w:pos="15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percentages used throughout this Schedule 13G are based upon 205,454,977 Shares outstanding as reported in the Issuer’s Prospectus filed on September 15, 2021.</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
        </w:trPr>
        <w:tc>
          <w:tcPr>
            <w:tcW w:w="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SCHEDULE 13G</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CUSIP No. H8088L103</w:t>
            </w:r>
          </w:p>
        </w:tc>
        <w:tc>
          <w:tcPr>
            <w:tcW w:w="1740" w:type="dxa"/>
            <w:vAlign w:val="bottom"/>
          </w:tcPr>
          <w:p>
            <w:pPr>
              <w:spacing w:after="0"/>
              <w:rPr>
                <w:sz w:val="19"/>
                <w:szCs w:val="19"/>
                <w:color w:val="auto"/>
              </w:rPr>
            </w:pPr>
          </w:p>
        </w:tc>
        <w:tc>
          <w:tcPr>
            <w:tcW w:w="7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9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300" w:type="dxa"/>
            <w:vAlign w:val="bottom"/>
            <w:gridSpan w:val="3"/>
          </w:tcPr>
          <w:p>
            <w:pPr>
              <w:ind w:left="360"/>
              <w:spacing w:after="0"/>
              <w:rPr>
                <w:sz w:val="20"/>
                <w:szCs w:val="20"/>
                <w:color w:val="auto"/>
              </w:rPr>
            </w:pPr>
            <w:r>
              <w:rPr>
                <w:rFonts w:ascii="Arial" w:cs="Arial" w:eastAsia="Arial" w:hAnsi="Arial"/>
                <w:sz w:val="18"/>
                <w:szCs w:val="18"/>
                <w:color w:val="auto"/>
              </w:rPr>
              <w:t>Ownership of Five Percent or Less of a Class.</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300" w:type="dxa"/>
            <w:vAlign w:val="bottom"/>
            <w:gridSpan w:val="3"/>
          </w:tcPr>
          <w:p>
            <w:pPr>
              <w:ind w:left="360"/>
              <w:spacing w:after="0"/>
              <w:rPr>
                <w:sz w:val="20"/>
                <w:szCs w:val="20"/>
                <w:color w:val="auto"/>
              </w:rPr>
            </w:pPr>
            <w:r>
              <w:rPr>
                <w:rFonts w:ascii="Arial" w:cs="Arial" w:eastAsia="Arial" w:hAnsi="Arial"/>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10300" w:type="dxa"/>
            <w:vAlign w:val="bottom"/>
            <w:gridSpan w:val="3"/>
          </w:tcPr>
          <w:p>
            <w:pPr>
              <w:ind w:left="360"/>
              <w:spacing w:after="0"/>
              <w:rPr>
                <w:sz w:val="20"/>
                <w:szCs w:val="20"/>
                <w:color w:val="auto"/>
              </w:rPr>
            </w:pPr>
            <w:r>
              <w:rPr>
                <w:rFonts w:ascii="Arial" w:cs="Arial" w:eastAsia="Arial" w:hAnsi="Arial"/>
                <w:sz w:val="18"/>
                <w:szCs w:val="18"/>
                <w:color w:val="auto"/>
                <w:w w:val="95"/>
              </w:rPr>
              <w:t>Identification and Classification of the Subsidiary Which Acquired the Security Being Reported on by the Parent Holding Company.</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10300" w:type="dxa"/>
            <w:vAlign w:val="bottom"/>
            <w:gridSpan w:val="3"/>
          </w:tcPr>
          <w:p>
            <w:pPr>
              <w:ind w:left="360"/>
              <w:spacing w:after="0"/>
              <w:rPr>
                <w:sz w:val="20"/>
                <w:szCs w:val="20"/>
                <w:color w:val="auto"/>
              </w:rPr>
            </w:pPr>
            <w:r>
              <w:rPr>
                <w:rFonts w:ascii="Arial" w:cs="Arial" w:eastAsia="Arial" w:hAnsi="Arial"/>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Notice of Dissolution of Group.</w:t>
            </w: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Certification.</w:t>
            </w: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300" w:type="dxa"/>
            <w:vAlign w:val="bottom"/>
            <w:gridSpan w:val="3"/>
          </w:tcPr>
          <w:p>
            <w:pPr>
              <w:ind w:left="36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not acquired and are not</w:t>
            </w:r>
          </w:p>
        </w:tc>
        <w:tc>
          <w:tcPr>
            <w:tcW w:w="0" w:type="dxa"/>
            <w:vAlign w:val="bottom"/>
          </w:tcPr>
          <w:p>
            <w:pPr>
              <w:spacing w:after="0"/>
              <w:rPr>
                <w:sz w:val="1"/>
                <w:szCs w:val="1"/>
                <w:color w:val="auto"/>
              </w:rPr>
            </w:pPr>
          </w:p>
        </w:tc>
      </w:tr>
    </w:tbl>
    <w:p>
      <w:pPr>
        <w:ind w:left="1300"/>
        <w:spacing w:after="0" w:line="260" w:lineRule="auto"/>
        <w:rPr>
          <w:sz w:val="20"/>
          <w:szCs w:val="20"/>
          <w:color w:val="auto"/>
        </w:rPr>
      </w:pPr>
      <w:r>
        <w:rPr>
          <w:rFonts w:ascii="Arial" w:cs="Arial" w:eastAsia="Arial" w:hAnsi="Arial"/>
          <w:sz w:val="18"/>
          <w:szCs w:val="18"/>
          <w:color w:val="auto"/>
        </w:rPr>
        <w:t>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22"/>
        </w:trPr>
        <w:tc>
          <w:tcPr>
            <w:tcW w:w="224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40"/>
              <w:spacing w:after="0"/>
              <w:rPr>
                <w:sz w:val="20"/>
                <w:szCs w:val="20"/>
                <w:color w:val="auto"/>
              </w:rPr>
            </w:pPr>
            <w:r>
              <w:rPr>
                <w:rFonts w:ascii="Arial" w:cs="Arial" w:eastAsia="Arial" w:hAnsi="Arial"/>
                <w:sz w:val="18"/>
                <w:szCs w:val="18"/>
                <w:b w:val="1"/>
                <w:bCs w:val="1"/>
                <w:color w:val="auto"/>
                <w:w w:val="95"/>
              </w:rPr>
              <w:t>SCHEDULE 13G</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H8088L103</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2940" w:type="dxa"/>
            <w:vAlign w:val="bottom"/>
          </w:tcPr>
          <w:p>
            <w:pPr>
              <w:ind w:left="100"/>
              <w:spacing w:after="0"/>
              <w:rPr>
                <w:sz w:val="20"/>
                <w:szCs w:val="20"/>
                <w:color w:val="auto"/>
              </w:rPr>
            </w:pPr>
            <w:r>
              <w:rPr>
                <w:rFonts w:ascii="Arial" w:cs="Arial" w:eastAsia="Arial" w:hAnsi="Arial"/>
                <w:sz w:val="18"/>
                <w:szCs w:val="18"/>
                <w:color w:val="auto"/>
              </w:rPr>
              <w:t>February 2, 2022</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Radcliff SR I LLC</w:t>
            </w: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By: Radcliff SPV Manager LLC, its manager</w:t>
            </w:r>
          </w:p>
        </w:tc>
      </w:tr>
      <w:tr>
        <w:trPr>
          <w:trHeight w:val="439"/>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Eli Goldstein</w:t>
            </w:r>
          </w:p>
        </w:tc>
      </w:tr>
      <w:tr>
        <w:trPr>
          <w:trHeight w:val="230"/>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Manager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2940" w:type="dxa"/>
            <w:vAlign w:val="bottom"/>
          </w:tcPr>
          <w:p>
            <w:pPr>
              <w:ind w:left="100"/>
              <w:spacing w:after="0"/>
              <w:rPr>
                <w:sz w:val="20"/>
                <w:szCs w:val="20"/>
                <w:color w:val="auto"/>
              </w:rPr>
            </w:pPr>
            <w:r>
              <w:rPr>
                <w:rFonts w:ascii="Arial" w:cs="Arial" w:eastAsia="Arial" w:hAnsi="Arial"/>
                <w:sz w:val="18"/>
                <w:szCs w:val="18"/>
                <w:color w:val="auto"/>
              </w:rPr>
              <w:t>February 2, 2022</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Radcliff SPV Manager LLC</w:t>
            </w:r>
          </w:p>
        </w:tc>
      </w:tr>
      <w:tr>
        <w:trPr>
          <w:trHeight w:val="439"/>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Eli Goldstein</w:t>
            </w:r>
          </w:p>
        </w:tc>
      </w:tr>
      <w:tr>
        <w:trPr>
          <w:trHeight w:val="230"/>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Manager</w:t>
            </w:r>
          </w:p>
        </w:tc>
      </w:tr>
      <w:tr>
        <w:trPr>
          <w:trHeight w:val="425"/>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2940" w:type="dxa"/>
            <w:vAlign w:val="bottom"/>
          </w:tcPr>
          <w:p>
            <w:pPr>
              <w:ind w:left="100"/>
              <w:spacing w:after="0"/>
              <w:rPr>
                <w:sz w:val="20"/>
                <w:szCs w:val="20"/>
                <w:color w:val="auto"/>
              </w:rPr>
            </w:pPr>
            <w:r>
              <w:rPr>
                <w:rFonts w:ascii="Arial" w:cs="Arial" w:eastAsia="Arial" w:hAnsi="Arial"/>
                <w:sz w:val="18"/>
                <w:szCs w:val="18"/>
                <w:color w:val="auto"/>
              </w:rPr>
              <w:t>February 2, 2022</w:t>
            </w:r>
          </w:p>
        </w:tc>
        <w:tc>
          <w:tcPr>
            <w:tcW w:w="244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Eli Goldstein</w:t>
            </w:r>
          </w:p>
        </w:tc>
      </w:tr>
      <w:tr>
        <w:trPr>
          <w:trHeight w:val="230"/>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Eli Goldstein</w:t>
            </w:r>
          </w:p>
        </w:tc>
      </w:tr>
      <w:tr>
        <w:trPr>
          <w:trHeight w:val="425"/>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2940" w:type="dxa"/>
            <w:vAlign w:val="bottom"/>
          </w:tcPr>
          <w:p>
            <w:pPr>
              <w:ind w:left="100"/>
              <w:spacing w:after="0"/>
              <w:rPr>
                <w:sz w:val="20"/>
                <w:szCs w:val="20"/>
                <w:color w:val="auto"/>
              </w:rPr>
            </w:pPr>
            <w:r>
              <w:rPr>
                <w:rFonts w:ascii="Arial" w:cs="Arial" w:eastAsia="Arial" w:hAnsi="Arial"/>
                <w:sz w:val="18"/>
                <w:szCs w:val="18"/>
                <w:color w:val="auto"/>
              </w:rPr>
              <w:t>February 2, 2022</w:t>
            </w:r>
          </w:p>
        </w:tc>
        <w:tc>
          <w:tcPr>
            <w:tcW w:w="244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Evan Morgan</w:t>
            </w:r>
          </w:p>
        </w:tc>
      </w:tr>
      <w:tr>
        <w:trPr>
          <w:trHeight w:val="230"/>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Evan Morgan</w:t>
            </w:r>
          </w:p>
        </w:tc>
      </w:tr>
      <w:tr>
        <w:trPr>
          <w:trHeight w:val="425"/>
        </w:trPr>
        <w:tc>
          <w:tcPr>
            <w:tcW w:w="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color w:val="auto"/>
              </w:rPr>
              <w:t>Page 10 of 11</w:t>
            </w:r>
          </w:p>
        </w:tc>
      </w:tr>
    </w:tbl>
    <w:p>
      <w:pPr>
        <w:sectPr>
          <w:pgSz w:w="11900" w:h="16838" w:orient="portrait"/>
          <w:cols w:equalWidth="0" w:num="1">
            <w:col w:w="11240"/>
          </w:cols>
          <w:pgMar w:left="320" w:top="688" w:right="339" w:bottom="1440" w:gutter="0" w:footer="0" w:header="0"/>
        </w:sectPr>
      </w:pPr>
    </w:p>
    <w:bookmarkStart w:id="10" w:name="page11"/>
    <w:bookmarkEnd w:id="10"/>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22"/>
        </w:trPr>
        <w:tc>
          <w:tcPr>
            <w:tcW w:w="2240" w:type="dxa"/>
            <w:vAlign w:val="bottom"/>
            <w:tcBorders>
              <w:bottom w:val="single" w:sz="8" w:color="auto"/>
            </w:tcBorders>
          </w:tcPr>
          <w:p>
            <w:pPr>
              <w:spacing w:after="0" w:line="20" w:lineRule="exact"/>
              <w:rPr>
                <w:sz w:val="1"/>
                <w:szCs w:val="1"/>
                <w:color w:val="auto"/>
              </w:rPr>
            </w:pPr>
          </w:p>
        </w:tc>
        <w:tc>
          <w:tcPr>
            <w:tcW w:w="3480" w:type="dxa"/>
            <w:vAlign w:val="bottom"/>
            <w:vMerge w:val="restart"/>
          </w:tcPr>
          <w:p>
            <w:pPr>
              <w:ind w:left="2140"/>
              <w:spacing w:after="0"/>
              <w:rPr>
                <w:sz w:val="20"/>
                <w:szCs w:val="20"/>
                <w:color w:val="auto"/>
              </w:rPr>
            </w:pPr>
            <w:r>
              <w:rPr>
                <w:rFonts w:ascii="Arial" w:cs="Arial" w:eastAsia="Arial" w:hAnsi="Arial"/>
                <w:sz w:val="18"/>
                <w:szCs w:val="18"/>
                <w:b w:val="1"/>
                <w:bCs w:val="1"/>
                <w:color w:val="auto"/>
                <w:w w:val="95"/>
              </w:rPr>
              <w:t>SCHEDULE 13G</w:t>
            </w:r>
          </w:p>
        </w:tc>
        <w:tc>
          <w:tcPr>
            <w:tcW w:w="0" w:type="dxa"/>
            <w:vAlign w:val="bottom"/>
          </w:tcPr>
          <w:p>
            <w:pPr>
              <w:spacing w:after="0"/>
              <w:rPr>
                <w:sz w:val="1"/>
                <w:szCs w:val="1"/>
                <w:color w:val="auto"/>
              </w:rPr>
            </w:pPr>
          </w:p>
        </w:tc>
      </w:tr>
      <w:tr>
        <w:trPr>
          <w:trHeight w:val="223"/>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H8088L103</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Rule 13d-1(k)(1)</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consent and agree to file a joint statement on Schedule 13G under the Securities Exchange Act of 1934, as amended, with respect to the Class A ordinary shares of Sportradar Group AG, beneficially owned by them, together with any or all amendments thereto, when and if appropriate. The parties hereto further consent and agree to file this Statement pursuant to Rule 13d-1(k)(1)(iii) as an exhibit to Schedule 13G, thereby incorporating the same into such Schedule 13G.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2940" w:type="dxa"/>
            <w:vAlign w:val="bottom"/>
          </w:tcPr>
          <w:p>
            <w:pPr>
              <w:ind w:left="100"/>
              <w:spacing w:after="0"/>
              <w:rPr>
                <w:sz w:val="20"/>
                <w:szCs w:val="20"/>
                <w:color w:val="auto"/>
              </w:rPr>
            </w:pPr>
            <w:r>
              <w:rPr>
                <w:rFonts w:ascii="Arial" w:cs="Arial" w:eastAsia="Arial" w:hAnsi="Arial"/>
                <w:sz w:val="18"/>
                <w:szCs w:val="18"/>
                <w:color w:val="auto"/>
              </w:rPr>
              <w:t>February 2, 2022</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Radcliff SR I LLC</w:t>
            </w: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By: Radcliff SPV Manager LLC, its manager</w:t>
            </w:r>
          </w:p>
        </w:tc>
      </w:tr>
      <w:tr>
        <w:trPr>
          <w:trHeight w:val="439"/>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Eli Goldstein</w:t>
            </w:r>
          </w:p>
        </w:tc>
      </w:tr>
      <w:tr>
        <w:trPr>
          <w:trHeight w:val="230"/>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Manager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2940" w:type="dxa"/>
            <w:vAlign w:val="bottom"/>
          </w:tcPr>
          <w:p>
            <w:pPr>
              <w:ind w:left="100"/>
              <w:spacing w:after="0"/>
              <w:rPr>
                <w:sz w:val="20"/>
                <w:szCs w:val="20"/>
                <w:color w:val="auto"/>
              </w:rPr>
            </w:pPr>
            <w:r>
              <w:rPr>
                <w:rFonts w:ascii="Arial" w:cs="Arial" w:eastAsia="Arial" w:hAnsi="Arial"/>
                <w:sz w:val="18"/>
                <w:szCs w:val="18"/>
                <w:color w:val="auto"/>
              </w:rPr>
              <w:t>February 2, 2022</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Radcliff SPV Manager LLC</w:t>
            </w:r>
          </w:p>
        </w:tc>
      </w:tr>
      <w:tr>
        <w:trPr>
          <w:trHeight w:val="439"/>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Eli Goldstein</w:t>
            </w:r>
          </w:p>
        </w:tc>
      </w:tr>
      <w:tr>
        <w:trPr>
          <w:trHeight w:val="230"/>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Manager</w:t>
            </w:r>
          </w:p>
        </w:tc>
      </w:tr>
      <w:tr>
        <w:trPr>
          <w:trHeight w:val="425"/>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2940" w:type="dxa"/>
            <w:vAlign w:val="bottom"/>
          </w:tcPr>
          <w:p>
            <w:pPr>
              <w:ind w:left="100"/>
              <w:spacing w:after="0"/>
              <w:rPr>
                <w:sz w:val="20"/>
                <w:szCs w:val="20"/>
                <w:color w:val="auto"/>
              </w:rPr>
            </w:pPr>
            <w:r>
              <w:rPr>
                <w:rFonts w:ascii="Arial" w:cs="Arial" w:eastAsia="Arial" w:hAnsi="Arial"/>
                <w:sz w:val="18"/>
                <w:szCs w:val="18"/>
                <w:color w:val="auto"/>
              </w:rPr>
              <w:t>February 2, 2022</w:t>
            </w:r>
          </w:p>
        </w:tc>
        <w:tc>
          <w:tcPr>
            <w:tcW w:w="244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Eli Goldstein</w:t>
            </w:r>
          </w:p>
        </w:tc>
      </w:tr>
      <w:tr>
        <w:trPr>
          <w:trHeight w:val="230"/>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Eli Goldstein</w:t>
            </w:r>
          </w:p>
        </w:tc>
      </w:tr>
      <w:tr>
        <w:trPr>
          <w:trHeight w:val="425"/>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2940" w:type="dxa"/>
            <w:vAlign w:val="bottom"/>
          </w:tcPr>
          <w:p>
            <w:pPr>
              <w:ind w:left="100"/>
              <w:spacing w:after="0"/>
              <w:rPr>
                <w:sz w:val="20"/>
                <w:szCs w:val="20"/>
                <w:color w:val="auto"/>
              </w:rPr>
            </w:pPr>
            <w:r>
              <w:rPr>
                <w:rFonts w:ascii="Arial" w:cs="Arial" w:eastAsia="Arial" w:hAnsi="Arial"/>
                <w:sz w:val="18"/>
                <w:szCs w:val="18"/>
                <w:color w:val="auto"/>
              </w:rPr>
              <w:t>February 2, 2022</w:t>
            </w:r>
          </w:p>
        </w:tc>
        <w:tc>
          <w:tcPr>
            <w:tcW w:w="244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Evan Morgan</w:t>
            </w:r>
          </w:p>
        </w:tc>
      </w:tr>
      <w:tr>
        <w:trPr>
          <w:trHeight w:val="230"/>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Evan Morgan</w:t>
            </w:r>
          </w:p>
        </w:tc>
      </w:tr>
      <w:tr>
        <w:trPr>
          <w:trHeight w:val="425"/>
        </w:trPr>
        <w:tc>
          <w:tcPr>
            <w:tcW w:w="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color w:val="auto"/>
              </w:rPr>
              <w:t>Page 11 of 11</w:t>
            </w: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2"/>
      <w:numFmt w:val="bullet"/>
      <w:start w:val="1"/>
    </w:lvl>
    <w:lvl w:ilvl="1">
      <w:lvlJc w:val="left"/>
      <w:lvlText w:val="(%2)"/>
      <w:numFmt w:val="lowerLetter"/>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4"/>
      <w:numFmt w:val="bullet"/>
      <w:start w:val="1"/>
    </w:lvl>
  </w:abstractNum>
  <w:abstractNum w:abstractNumId="5">
    <w:nsid w:val="519B500D"/>
    <w:multiLevelType w:val="hybridMultilevel"/>
    <w:lvl w:ilvl="0">
      <w:lvlJc w:val="left"/>
      <w:lvlText w:val="9"/>
      <w:numFmt w:val="bullet"/>
      <w:start w:val="1"/>
    </w:lvl>
  </w:abstractNum>
  <w:abstractNum w:abstractNumId="6">
    <w:nsid w:val="431BD7B7"/>
    <w:multiLevelType w:val="hybridMultilevel"/>
    <w:lvl w:ilvl="0">
      <w:lvlJc w:val="left"/>
      <w:lvlText w:val="%1"/>
      <w:numFmt w:val="decimal"/>
      <w:start w:val="10"/>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2"/>
      <w:numFmt w:val="bullet"/>
      <w:start w:val="1"/>
    </w:lvl>
    <w:lvl w:ilvl="1">
      <w:lvlJc w:val="left"/>
      <w:lvlText w:val="(%2)"/>
      <w:numFmt w:val="lowerLetter"/>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4"/>
      <w:numFmt w:val="bullet"/>
      <w:start w:val="1"/>
    </w:lvl>
  </w:abstractNum>
  <w:abstractNum w:abstractNumId="11">
    <w:nsid w:val="436C6125"/>
    <w:multiLevelType w:val="hybridMultilevel"/>
    <w:lvl w:ilvl="0">
      <w:lvlJc w:val="left"/>
      <w:lvlText w:val="9"/>
      <w:numFmt w:val="bullet"/>
      <w:start w:val="1"/>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2"/>
      <w:numFmt w:val="bullet"/>
      <w:start w:val="1"/>
    </w:lvl>
    <w:lvl w:ilvl="1">
      <w:lvlJc w:val="left"/>
      <w:lvlText w:val="(%2)"/>
      <w:numFmt w:val="lowerLetter"/>
      <w:start w:val="1"/>
    </w:lvl>
  </w:abstractNum>
  <w:abstractNum w:abstractNumId="15">
    <w:nsid w:val="2443A858"/>
    <w:multiLevelType w:val="hybridMultilevel"/>
    <w:lvl w:ilvl="0">
      <w:lvlJc w:val="left"/>
      <w:lvlText w:val="3"/>
      <w:numFmt w:val="bullet"/>
      <w:start w:val="1"/>
    </w:lvl>
  </w:abstractNum>
  <w:abstractNum w:abstractNumId="16">
    <w:nsid w:val="2D1D5AE9"/>
    <w:multiLevelType w:val="hybridMultilevel"/>
    <w:lvl w:ilvl="0">
      <w:lvlJc w:val="left"/>
      <w:lvlText w:val="4"/>
      <w:numFmt w:val="bullet"/>
      <w:start w:val="1"/>
    </w:lvl>
  </w:abstractNum>
  <w:abstractNum w:abstractNumId="17">
    <w:nsid w:val="6763845E"/>
    <w:multiLevelType w:val="hybridMultilevel"/>
    <w:lvl w:ilvl="0">
      <w:lvlJc w:val="left"/>
      <w:lvlText w:val="9"/>
      <w:numFmt w:val="bullet"/>
      <w:start w:val="1"/>
    </w:lvl>
  </w:abstractNum>
  <w:abstractNum w:abstractNumId="18">
    <w:nsid w:val="75A2A8D4"/>
    <w:multiLevelType w:val="hybridMultilevel"/>
    <w:lvl w:ilvl="0">
      <w:lvlJc w:val="left"/>
      <w:lvlText w:val="%1"/>
      <w:numFmt w:val="decimal"/>
      <w:start w:val="10"/>
    </w:lvl>
  </w:abstractNum>
  <w:abstractNum w:abstractNumId="19">
    <w:nsid w:val="8EDBDAB"/>
    <w:multiLevelType w:val="hybridMultilevel"/>
    <w:lvl w:ilvl="0">
      <w:lvlJc w:val="left"/>
      <w:lvlText w:val="1"/>
      <w:numFmt w:val="bullet"/>
      <w:start w:val="1"/>
    </w:lvl>
  </w:abstractNum>
  <w:abstractNum w:abstractNumId="20">
    <w:nsid w:val="79838CB2"/>
    <w:multiLevelType w:val="hybridMultilevel"/>
    <w:lvl w:ilvl="0">
      <w:lvlJc w:val="left"/>
      <w:lvlText w:val="2"/>
      <w:numFmt w:val="bullet"/>
      <w:start w:val="1"/>
    </w:lvl>
    <w:lvl w:ilvl="1">
      <w:lvlJc w:val="left"/>
      <w:lvlText w:val="(%2)"/>
      <w:numFmt w:val="lowerLetter"/>
      <w:start w:val="1"/>
    </w:lvl>
  </w:abstractNum>
  <w:abstractNum w:abstractNumId="21">
    <w:nsid w:val="4353D0CD"/>
    <w:multiLevelType w:val="hybridMultilevel"/>
    <w:lvl w:ilvl="0">
      <w:lvlJc w:val="left"/>
      <w:lvlText w:val="3"/>
      <w:numFmt w:val="bullet"/>
      <w:start w:val="1"/>
    </w:lvl>
  </w:abstractNum>
  <w:abstractNum w:abstractNumId="22">
    <w:nsid w:val="B03E0C6"/>
    <w:multiLevelType w:val="hybridMultilevel"/>
    <w:lvl w:ilvl="0">
      <w:lvlJc w:val="left"/>
      <w:lvlText w:val="4"/>
      <w:numFmt w:val="bullet"/>
      <w:start w:val="1"/>
    </w:lvl>
  </w:abstractNum>
  <w:abstractNum w:abstractNumId="23">
    <w:nsid w:val="189A769B"/>
    <w:multiLevelType w:val="hybridMultilevel"/>
    <w:lvl w:ilvl="0">
      <w:lvlJc w:val="left"/>
      <w:lvlText w:val="9"/>
      <w:numFmt w:val="bullet"/>
      <w:start w:val="1"/>
    </w:lvl>
  </w:abstractNum>
  <w:abstractNum w:abstractNumId="24">
    <w:nsid w:val="54E49EB4"/>
    <w:multiLevelType w:val="hybridMultilevel"/>
    <w:lvl w:ilvl="0">
      <w:lvlJc w:val="left"/>
      <w:lvlText w:val="%1"/>
      <w:numFmt w:val="decimal"/>
      <w:start w:val="10"/>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3"/>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2022-02-02T12:43:46Z</dcterms:created>
  <dcterms:modified xsi:type="dcterms:W3CDTF">2022-02-02T12:43:46Z</dcterms:modified>
</cp:coreProperties>
</file>