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12746d5_6k.htm"/>
      <w:bookmarkStart w:id="1" w:name="kstm2512746d5_6k"/>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001-40799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Sportradar Group AG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Feldlistrasse 2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CH-9000 St. Gallen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Switzerland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Sportradar Group AG (the “Company”) closed the previously announced underwritten secondary public offering of an aggregate of 23,000,000 Class A ordinary shares of the Company (the “Secondary Offering”) by CPP Investment Board Europe Inc., TCV IX Sports Corp. and Carsten Koerl (collectively, the “Selling Shareholders”), at a price to the public of $22.50 per share. In connection with the Secondary Offering, the Company purchased 3,000,000 of such Class A ordinary shares from the Underwriters (as defined below) at a price per share equal to $21.825 on April 25, 2025. The Company did not receive any proceeds from the sale of the Class A ordinary shares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UNDERWRITING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the Company entered into an Underwriting Agreement (the “Underwriting Agreement”), by and among the Company, the Selling Shareholders, and Goldman Sachs &amp; Co. LLC and J.P. Morgan Securities LLC, as representatives of the several underwriters listed in Schedule 1 thereto (the “Underwriters”), relating to the Secondary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the Underwriters have been granted a 30-day option to purchase up to an additional 3,450,000 Class A ordinary shares from certain of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covenants and indemnification obligations of the Company, the Selling Shareholders and the Underwriters, as well as termination and other customary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Secondary Offering was made pursuant to the Company’s registration statement on Form F-3 (File No. 333-286679) filed with the Securities and Exchange Commission (the “SEC”) on April 22, 2025 (the “Registration Statement”), a prospectus, dated April 22, 2025 included as part of the Registration Statement, a preliminary prospectus supplement, dated April 22, 2025 and filed with the SEC on April 22, 2025, and a final prospectus supplement, dated April 23, 2025 and filed with the SEC on April 24,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Underwriting Agreement is only a summary and is qualified in its entirety by reference to the Underwriting Agreement, a copy of which is attached as Exhibit 1.1 to this Form 6-K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herein and the Underwriting Agreement attached hereto as Exhibit 1.1 is hereby incorporated by reference into (i) the Registration Statement and (ii) the Company’s Registration Statement on Form S-8 (File No. 333-259885).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attached Exhibit 5.1 opinion of Niederer Kraft Frey Ltd. regarding certain Swiss law matters relating to the Secondary Offering, including the validity of the Class A ordinary shares sold in the Secondary Offering, is hereby incorporated by reference into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Company issued a press release announcing the launch of the Secondary Offering attached hereto as Exhibit 99.1 (the “Launch Press Release”). On April 22, 2025, the Company issued a press release announcing its preliminary first quarter 2025 financial results attached hereto as Exhibit 99.1 (the “Q1 Preliminary Results Press Release”). On April 24, 2025, the Company issued a press release announcing the pricing of the Secondary Offering attached hereto as Exhibit 99.3 (the “Pricing Press Release”, and collectively with the Launch Press Release and the Q1 Preliminary Results Press Release, the “Press Releases”). The Press Releases are hereby incorporated by reference into the Company’s Registration Statement on Form S-8 (File No. 333-259885).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75"/>
        <w:gridCol w:w="320"/>
        <w:gridCol w:w="545"/>
        <w:gridCol w:w="3200"/>
      </w:tblGrid>
      <w:tr>
        <w:trPr/>
        <w:tc>
          <w:tcPr>
            <w:tcW w:w="75" w:type="dxa"/>
            <w:tcBorders/>
            <w:vAlign w:val="center"/>
          </w:tcPr>
          <w:p>
            <w:pPr>
              <w:pStyle w:val="TableContents"/>
              <w:bidi w:val="0"/>
              <w:spacing w:before="0" w:after="283"/>
              <w:jc w:val="left"/>
              <w:rPr/>
            </w:pPr>
            <w:r>
              <w:rPr/>
              <w:t> </w:t>
            </w:r>
          </w:p>
        </w:tc>
        <w:tc>
          <w:tcPr>
            <w:tcW w:w="4065" w:type="dxa"/>
            <w:gridSpan w:val="3"/>
            <w:tcBorders/>
            <w:vAlign w:val="center"/>
          </w:tcPr>
          <w:p>
            <w:pPr>
              <w:pStyle w:val="TableContents"/>
              <w:bidi w:val="0"/>
              <w:spacing w:before="0" w:after="283"/>
              <w:jc w:val="left"/>
              <w:rPr>
                <w:b/>
              </w:rPr>
            </w:pPr>
            <w:r>
              <w:rPr>
                <w:b/>
              </w:rPr>
              <w:t>Sportradar Group AG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74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Miller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200" w:type="dxa"/>
            <w:tcBorders/>
            <w:vAlign w:val="center"/>
          </w:tcPr>
          <w:p>
            <w:pPr>
              <w:pStyle w:val="TableContents"/>
              <w:bidi w:val="0"/>
              <w:spacing w:before="0" w:after="283"/>
              <w:jc w:val="left"/>
              <w:rPr>
                <w:sz w:val="20"/>
              </w:rPr>
            </w:pPr>
            <w:r>
              <w:rPr>
                <w:sz w:val="20"/>
              </w:rPr>
              <w:t>Michael Miller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200" w:type="dxa"/>
            <w:tcBorders/>
            <w:vAlign w:val="center"/>
          </w:tcPr>
          <w:p>
            <w:pPr>
              <w:pStyle w:val="TableContents"/>
              <w:bidi w:val="0"/>
              <w:spacing w:before="0" w:after="283"/>
              <w:jc w:val="left"/>
              <w:rPr>
                <w:sz w:val="20"/>
              </w:rPr>
            </w:pPr>
            <w:r>
              <w:rPr>
                <w:sz w:val="20"/>
              </w:rPr>
              <w:t>Chief Legal and Administrative Officer</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28" w:type="dxa"/>
          <w:right w:w="0" w:type="dxa"/>
        </w:tblCellMar>
      </w:tblPr>
      <w:tblGrid>
        <w:gridCol w:w="995"/>
        <w:gridCol w:w="60"/>
        <w:gridCol w:w="692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920" w:type="dxa"/>
            <w:tcBorders>
              <w:bottom w:val="single" w:sz="8" w:space="0" w:color="000000"/>
            </w:tcBorders>
            <w:vAlign w:val="center"/>
          </w:tcPr>
          <w:p>
            <w:pPr>
              <w:pStyle w:val="TableContents"/>
              <w:bidi w:val="0"/>
              <w:spacing w:before="0" w:after="283"/>
              <w:jc w:val="both"/>
              <w:rPr>
                <w:b/>
                <w:sz w:val="20"/>
              </w:rPr>
            </w:pPr>
            <w:r>
              <w:rPr>
                <w:b/>
                <w:sz w:val="20"/>
              </w:rPr>
              <w:t>Document Description</w:t>
            </w:r>
          </w:p>
        </w:tc>
      </w:tr>
      <w:tr>
        <w:trPr/>
        <w:tc>
          <w:tcPr>
            <w:tcW w:w="995" w:type="dxa"/>
            <w:tcBorders/>
            <w:tcMar>
              <w:bottom w:w="0" w:type="dxa"/>
            </w:tcMar>
            <w:vAlign w:val="center"/>
          </w:tcPr>
          <w:p>
            <w:pPr>
              <w:pStyle w:val="TableContents"/>
              <w:bidi w:val="0"/>
              <w:spacing w:before="0" w:after="283"/>
              <w:jc w:val="left"/>
              <w:rPr/>
            </w:pPr>
            <w:hyperlink w:anchor="tm2512746d5_ex1-1.htm">
              <w:r>
                <w:rPr>
                  <w:rStyle w:val="InternetLink"/>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6920" w:type="dxa"/>
            <w:tcBorders/>
            <w:tcMar>
              <w:bottom w:w="0" w:type="dxa"/>
            </w:tcMar>
            <w:vAlign w:val="center"/>
          </w:tcPr>
          <w:p>
            <w:pPr>
              <w:pStyle w:val="TableContents"/>
              <w:bidi w:val="0"/>
              <w:spacing w:before="0" w:after="283"/>
              <w:jc w:val="both"/>
              <w:rPr/>
            </w:pPr>
            <w:hyperlink w:anchor="tm2512746d5_ex1-1.htm">
              <w:r>
                <w:rPr>
                  <w:rStyle w:val="InternetLink"/>
                  <w:sz w:val="20"/>
                </w:rPr>
                <w:t>Underwriting Agreement, dated April 23, 2025.</w:t>
              </w:r>
            </w:hyperlink>
          </w:p>
        </w:tc>
      </w:tr>
      <w:tr>
        <w:trPr/>
        <w:tc>
          <w:tcPr>
            <w:tcW w:w="995" w:type="dxa"/>
            <w:tcBorders/>
            <w:tcMar>
              <w:bottom w:w="0" w:type="dxa"/>
            </w:tcMar>
            <w:vAlign w:val="center"/>
          </w:tcPr>
          <w:p>
            <w:pPr>
              <w:pStyle w:val="TableContents"/>
              <w:bidi w:val="0"/>
              <w:spacing w:before="0" w:after="283"/>
              <w:jc w:val="left"/>
              <w:rPr/>
            </w:pPr>
            <w:hyperlink w:anchor="tm2512746d5_ex5-1.htm">
              <w:r>
                <w:rPr>
                  <w:rStyle w:val="InternetLink"/>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6920" w:type="dxa"/>
            <w:tcBorders/>
            <w:tcMar>
              <w:bottom w:w="0" w:type="dxa"/>
            </w:tcMar>
            <w:vAlign w:val="center"/>
          </w:tcPr>
          <w:p>
            <w:pPr>
              <w:pStyle w:val="TableContents"/>
              <w:bidi w:val="0"/>
              <w:spacing w:before="0" w:after="283"/>
              <w:jc w:val="both"/>
              <w:rPr/>
            </w:pPr>
            <w:hyperlink w:anchor="tm2512746d5_ex5-1.htm">
              <w:r>
                <w:rPr>
                  <w:rStyle w:val="InternetLink"/>
                  <w:sz w:val="20"/>
                </w:rPr>
                <w:t>Opinion of Niederer Kraft Frey Ltd.</w:t>
              </w:r>
            </w:hyperlink>
          </w:p>
        </w:tc>
      </w:tr>
      <w:tr>
        <w:trPr/>
        <w:tc>
          <w:tcPr>
            <w:tcW w:w="995" w:type="dxa"/>
            <w:tcBorders/>
            <w:tcMar>
              <w:bottom w:w="0" w:type="dxa"/>
            </w:tcMar>
            <w:vAlign w:val="center"/>
          </w:tcPr>
          <w:p>
            <w:pPr>
              <w:pStyle w:val="TableContents"/>
              <w:bidi w:val="0"/>
              <w:spacing w:before="0" w:after="283"/>
              <w:jc w:val="left"/>
              <w:rPr/>
            </w:pPr>
            <w:hyperlink w:anchor="tm2512746d5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920" w:type="dxa"/>
            <w:tcBorders/>
            <w:tcMar>
              <w:bottom w:w="0" w:type="dxa"/>
            </w:tcMar>
            <w:vAlign w:val="center"/>
          </w:tcPr>
          <w:p>
            <w:pPr>
              <w:pStyle w:val="TableContents"/>
              <w:bidi w:val="0"/>
              <w:spacing w:before="0" w:after="283"/>
              <w:jc w:val="both"/>
              <w:rPr/>
            </w:pPr>
            <w:hyperlink w:anchor="tm2512746d5_ex99-1.htm">
              <w:r>
                <w:rPr>
                  <w:rStyle w:val="InternetLink"/>
                  <w:sz w:val="20"/>
                </w:rPr>
                <w:t>Sportradar Launch Press Release, dated April 22, 2025</w:t>
              </w:r>
            </w:hyperlink>
          </w:p>
        </w:tc>
      </w:tr>
      <w:tr>
        <w:trPr/>
        <w:tc>
          <w:tcPr>
            <w:tcW w:w="995" w:type="dxa"/>
            <w:tcBorders/>
            <w:tcMar>
              <w:bottom w:w="0" w:type="dxa"/>
            </w:tcMar>
            <w:vAlign w:val="center"/>
          </w:tcPr>
          <w:p>
            <w:pPr>
              <w:pStyle w:val="TableContents"/>
              <w:bidi w:val="0"/>
              <w:spacing w:before="0" w:after="283"/>
              <w:jc w:val="left"/>
              <w:rPr/>
            </w:pPr>
            <w:hyperlink w:anchor="tm2512746d5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6920" w:type="dxa"/>
            <w:tcBorders/>
            <w:tcMar>
              <w:bottom w:w="0" w:type="dxa"/>
            </w:tcMar>
            <w:vAlign w:val="center"/>
          </w:tcPr>
          <w:p>
            <w:pPr>
              <w:pStyle w:val="TableContents"/>
              <w:bidi w:val="0"/>
              <w:spacing w:before="0" w:after="283"/>
              <w:jc w:val="both"/>
              <w:rPr/>
            </w:pPr>
            <w:hyperlink w:anchor="tm2512746d5_ex99-2.htm">
              <w:r>
                <w:rPr>
                  <w:rStyle w:val="InternetLink"/>
                  <w:sz w:val="20"/>
                </w:rPr>
                <w:t>Sportradar Preliminary First Quarter 2025 Results Press Release, dated April 22, 2025</w:t>
              </w:r>
            </w:hyperlink>
          </w:p>
        </w:tc>
      </w:tr>
      <w:tr>
        <w:trPr/>
        <w:tc>
          <w:tcPr>
            <w:tcW w:w="995" w:type="dxa"/>
            <w:tcBorders/>
            <w:tcMar>
              <w:bottom w:w="0" w:type="dxa"/>
            </w:tcMar>
            <w:vAlign w:val="center"/>
          </w:tcPr>
          <w:p>
            <w:pPr>
              <w:pStyle w:val="TableContents"/>
              <w:bidi w:val="0"/>
              <w:spacing w:before="0" w:after="283"/>
              <w:jc w:val="left"/>
              <w:rPr/>
            </w:pPr>
            <w:hyperlink w:anchor="tm2512746d5_ex99-3.htm">
              <w:r>
                <w:rPr>
                  <w:rStyle w:val="InternetLink"/>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6920" w:type="dxa"/>
            <w:tcBorders/>
            <w:tcMar>
              <w:bottom w:w="0" w:type="dxa"/>
            </w:tcMar>
            <w:vAlign w:val="center"/>
          </w:tcPr>
          <w:p>
            <w:pPr>
              <w:pStyle w:val="TableContents"/>
              <w:bidi w:val="0"/>
              <w:spacing w:before="0" w:after="283"/>
              <w:jc w:val="both"/>
              <w:rPr/>
            </w:pPr>
            <w:hyperlink w:anchor="tm2512746d5_ex99-3.htm">
              <w:r>
                <w:rPr>
                  <w:rStyle w:val="InternetLink"/>
                  <w:sz w:val="20"/>
                </w:rPr>
                <w:t>Sportradar Pricing Press Release, dated April 24,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12746d5_ex1-1.htm"/>
      <w:bookmarkStart w:id="3" w:name="kstm2512746d5_ex11"/>
      <w:bookmarkEnd w:id="2"/>
      <w:bookmarkEnd w:id="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GROUP AG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23,000,000 Shares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w:t>
        <w:br/>
        <w:t>several Underwriters listed</w:t>
        <w:br/>
        <w:t>in Schedule 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br/>
        <w:t>383 Madison Avenue</w:t>
        <w:br/>
        <w:t>New York, New York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shareholders named in Schedule 2 hereto (the “Selling Shareholders”) of Sportradar Group AG, a Swiss corporation (the “Company”), propose to sell to the several underwriters listed in Schedule 1 hereto (the “Underwriters”), for whom you are acting as Representatives (the “Representatives”), an aggregate of 23,000,000 shares of Class A ordinary shares, each having a nominal value of CHF 0.10, of the Company (the “Underwritten Shares”) and, at the option of the Underwriters, up to an additional 3,450,000 shares of Class A ordinary shares of the Company (the “Option Shares”). The Underwritten Shares and the Option Shares are herein referred to as the “Shares.” The Class A ordinary shares of the Company to be outstanding after giving effect to the sale of the Shares are referred to herein as the “Stock.” Subject to the sale of the Shares by the Selling Shareholders to the Underwriters in compliance with the terms of this Agreement, the Underwriters have agreed to sell to the Company, and the Company has agreed to purchase from the Underwriters (the “Share Repurchase”) an aggregate of 3,000,000 shares of Class A ordinary shares (such shares, the “Repurchase Shares”) pursuant to Section 2 of this Agreement. This Agreement is to confirm the agreement concerning the purchase of the Shares from the Selling Shareholders by the Underwriters, and the purchase of the Repurchase Shares from the Underwriters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Selling Shareholders hereby confirm their agreement with the several Underwriters concerning the purchase and sale of the Shares,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with the Securities and Exchange Commission (the “Commission”) under the Securities Act of 1933, as amended, and the rules and regulations of the Commission thereunder (collectively, the “Securities Act”), a registration statement (File No. 333-286679),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6 of Form F-3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Applicable Time (as defined below), the Company had prepared the following information (collectively with the pricing information set forth on Annex A(3), the “Pricing Disclosure Package”): a Preliminary Prospectus dated April 22, 2025 and each “free-writing prospectus” (as defined pursuant to Rule 405 under the Securities Act) listed on Annex A(3)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Time” means 6:08 P.M., New York City time, on April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Purchase of the Shares</w:t>
      </w:r>
      <w:r>
        <w:rPr>
          <w:rFonts w:ascii="Times New Roman;Times;Serif" w:hAnsi="Times New Roman;Times;Serif"/>
          <w:b w:val="false"/>
          <w:i w:val="false"/>
          <w:caps w:val="false"/>
          <w:smallCaps w:val="false"/>
          <w:sz w:val="20"/>
        </w:rPr>
        <w:t>. (a)  On the basis of the representations, warranties and agreements set forth herein and subject to the conditions set forth herein, each of the Selling Shareholders agrees, severally and not jointly, to sell the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 $21.8250 (the “Purchase Price”) from the Selling Shareholders the respective number of Underwritten Shares set forth opposite such Underwriter’s name in Schedule 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the basis of the representations, warranties and agreements set forth herein and subject to the conditions set forth herein, each of the Selling Shareholders agrees severally and not jointly, as and to the extent indicated in Schedule 2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each Selling Shareholder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Selling Shareholders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each Selling Shareholder as set forth in Schedule 2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may exercise the option to purchase Option Shares at any time in whole, or from time to time in part, on or before the thirtieth day following the date of the Prospectus, by written notice from the Representatives to the Selling Shareholders.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sale of the Shares by the Selling Shareholders to the Underwriters in compliance with the terms of this Agreement, the Underwriters agree to sell to the Company, and the Company agrees to purchase from the Underwriters, the number of Repurchase Shares specified herein at the Purchase Price. The Company represents that it is acquiring the Repurchase Shares for investment purposes. None of the Shares being sold by CPP Investment Board Europe, Inc. (“CPPIB”) hereunder will be purchased by the Company from the Underwriters pursuant to the Share Repurchase. The number of Repurchase Shares to be sold by each Underwriter to the Company shall be based on the same proportion as the number of Shares set forth opposite the name of such Underwriter in Schedule 1 represents to the total number of Shares to be purchased by the Underwriters pursuant to this Agreement, subject to the procedures set forth in 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Selling Shareholders understand that the Underwriters intend to make a public offering of the Shares, and initially to offer the Shares on the terms set forth in the Pricing Disclosure Package. The Selling Shareholders acknowledge and agree that the Underwriters may offer and sell Shares to or through any affiliate of an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for the Shares shall be made by wire transfer in immediately available funds to the accounts specified by each of the Selling Shareholders to the Representatives at the offices of Davis Polk &amp; Wardwell LLP, 450 Lexington Avenue, New York, New York 10017 at 10:00 A.M. New York City time on April 25, 2025, or at such other time or place on the same or such other date, not later than the fifth business day thereafter, as the Representatives and the Selling Shareholders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any Option Shares, if other than the Closing Date, is herein referred to as the “Additional Closing Date.” The aggregate Purchase Price to be paid on the Closing Date or the Additional Closing Date, as applicable, by the Underwriters shall be reduced by any withholding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the Underwritten Shares duly paid by the Selling Shareholders. Delivery of the Shares shall be made through the facilities of The Depository Trust Company (“DTC”) unless the Representatives shall otherwise instruct. In addition, subject to the sale of the Shares by the Selling Shareholders to the Underwriters in compliance with the terms of this Agreement, payment of the aggregate purchase price of the Repurchase Shares shall be made by the Company to the Underwriters in immediately available funds to an account specified by the Representatives, against delivery of such Repurchase Shares for the account of the Company at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sale of the Shares to the Underwriters in compliance with the terms of this Agreement, payment for the Repurchase Shares shall be made by the Company to the Underwriters in Federal or other funds immediately available in New York City against delivery of such Repurchase Shares for the account of the Company at the Closing Date as set forth in 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Company and each Selling Shareholder acknowledges and agrees that the Representatives and the other Underwriters are acting solely in the capacity of an arm’s length contractual counterparty to the Company and the Selling Shareholders with respect to the offering of Shares contemplated hereby (including in connection with determining the terms of the offering) and not as a financial advisor or a fiduciary to, or an agent of, the Company, the Selling Shareholders or any other person. Additionally, neither the Representatives nor any other Underwriter is advising the Company, the Selling Shareholders or any other person as to any legal, tax, investment, accounting or regulatory matters in any jurisdiction with respect to the transactions contemplated hereby and other matters relating to such transactions. The Company and the Selling Shareholders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Shareholders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Shareholders. Moreover, each Selling Shareholder acknowledges and agrees that, although the Representatives may be required or choose to provide certain Selling Shareholders with certain Regulation Best Interest and Form CRS disclosures or other related documentation in connection with the offering, the Representatives and the other Underwriters are not making a recommendation to any Selling Shareholder to participate in the offering, enter into a “lock-up” agreement, or sell any Shares at the price determined in the offering, and nothing set forth in such disclosures or documentation is intended to suggest that the Representatives or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each Underwriter and each Selling Shareholder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Preliminary Prospectus.</w:t>
      </w:r>
      <w:r>
        <w:rPr>
          <w:rFonts w:ascii="Times New Roman;Times;Serif" w:hAnsi="Times New Roman;Times;Serif"/>
          <w:b w:val="false"/>
          <w:i w:val="false"/>
          <w:caps w:val="false"/>
          <w:smallCaps w:val="false"/>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or Selling Shareholder furnished to the Company in writing by such Underwriter or the Selling Shareholder, as the case may be, through the Representatives expressly for use in any Preliminary Prospectus, it being understood and agreed that (i) the only such information furnished by any Underwriter consists of the information described as such in Section ‎9(c) hereof and (ii) the only such information furnished by any Selling Shareholder consists of the information described as such in Section 4(g)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Pricing Disclosure Package</w:t>
      </w:r>
      <w:r>
        <w:rPr>
          <w:rFonts w:ascii="Times New Roman;Times;Serif" w:hAnsi="Times New Roman;Times;Serif"/>
          <w:b w:val="false"/>
          <w:i w:val="false"/>
          <w:caps w:val="false"/>
          <w:smallCaps w:val="false"/>
          <w:sz w:val="20"/>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or the Selling Shareholder furnished to the Company in writing by or on behalf of any such Underwriter through the Representatives or the Selling Shareholder, as the case may be, expressly for use in such Pricing Disclosure Package, it being understood and agreed that (i) the only such information furnished by any Underwriter consists of the information described as such in Section ‎9(c) hereof and (ii) the only such information furnished by any Selling Shareholder consists of the information described as such in Section 4(g)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Issuer Free Writing Prospectus. </w:t>
      </w:r>
      <w:r>
        <w:rPr>
          <w:rFonts w:ascii="Times New Roman;Times;Serif" w:hAnsi="Times New Roman;Times;Serif"/>
          <w:b w:val="false"/>
          <w:i w:val="false"/>
          <w:caps w:val="false"/>
          <w:smallCaps w:val="false"/>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each such Issuer Free Writing Prospectus or Preliminary Prospectus in reliance upon and in conformity with information relating to any Underwriter or the Selling Shareholder furnished to the Company in writing by or on behalf of such Underwriter through the Representatives or the Selling Shareholder, as the case may be, expressly for use in such Issuer Free Writing Prospectus or Preliminary Prospectus, it being understood and agreed that (i) the only such information furnished by any Underwriter consists of the information described as such in Section ‎9(c) hereof and (ii) the only such information furnished by any Selling Shareholder consists of the information described as such in Section 4(g)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Incorporated Documents. </w:t>
      </w:r>
      <w:r>
        <w:rPr>
          <w:rFonts w:ascii="Times New Roman;Times;Serif" w:hAnsi="Times New Roman;Times;Serif"/>
          <w:b w:val="false"/>
          <w:i w:val="false"/>
          <w:caps w:val="false"/>
          <w:smallCaps w:val="false"/>
          <w:sz w:val="20"/>
        </w:rPr>
        <w:t>The documents incorporated by reference in the Registration Statement, the 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Testing-the-Waters Materials. </w:t>
      </w:r>
      <w:r>
        <w:rPr>
          <w:rFonts w:ascii="Times New Roman;Times;Serif" w:hAnsi="Times New Roman;Times;Serif"/>
          <w:b w:val="false"/>
          <w:i w:val="false"/>
          <w:caps w:val="false"/>
          <w:smallCaps w:val="false"/>
          <w:sz w:val="20"/>
        </w:rPr>
        <w:t>The Company (i) has not alone engaged in any Testing-the-Waters Communications other than 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or any Selling Shareholder furnished to the Company in writing by or on behalf of such Underwriter through the Representatives or the Selling Shareholder, as the case may be, expressly for use in the Registration Statement and the Prospectus and any amendment or supplement thereto, it being understood and agreed that (i) the only such information furnished by any Underwriter consists of the information described as such in Section ‎9(c) hereof and (ii) the only such information furnished by any Selling Shareholder consists of the information described as such in Section 4(g)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International Financial Reporting Standards, as issued by the IASB (“IFRS”) in the United States applied on a consistent basis throughout the periods covered thereby, and any supporting schedules included or incorporated by reference in the Registration Statement present fairly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 and all disclosures included or incorporated by reference in the Registration Statement, the Pricing Disclosure Package and the Prospectus regarding “non-IFRS financial measures” (as such term is defined by the rules and regulations of Commission) comply with Regulation G of the Securities Exchange Act of 1934, as amended, and the rules and regulations of the Commission thereunder (collectively, the “Exchange Act”) and Item 10 of Regulation S-K of the Securities Act,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Since the date of the most recent financial statements of the Company included or incorporated by reference in the Registration Statement, the Pricing Disclosure Package and the Prospectus, (i) there has not been any material change in the capital stock (other than the issuance of Class A Ordinary Shares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Organization and Good Standing (as applicable).</w:t>
      </w:r>
      <w:r>
        <w:rPr>
          <w:rFonts w:ascii="Times New Roman;Times;Serif" w:hAnsi="Times New Roman;Times;Serif"/>
          <w:b w:val="false"/>
          <w:i w:val="false"/>
          <w:caps w:val="false"/>
          <w:smallCaps w:val="false"/>
          <w:sz w:val="20"/>
        </w:rPr>
        <w:t xml:space="preserve"> The Company and each of its subsidiaries have been duly incorporated or organized, as the case may be, and are validly existing and in good standing (to the extent the concept of good standing or an equivalent concept is applicable in such jurisdiction) under the laws of their respective jurisdictions of incorporation or organization, are duly qualified to do business and are in good standing (to the extent the concept of good standing or an equivalent concept is applicable in such jurisdiction)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(as the case may be)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or the consummation of the transactions contemplated hereby (including the Share Repurchase) (a “Material Adverse Effect”). The Company does not own or control, directly or indirectly, any corporation, association or other entity other than the subsidiaries listed in Exhibit 21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The authorized capital stock under the capital band of the Company is as set forth in the Registration Statement, the Pricing Disclosure Package and the Prospectus as of the dates set forth therein; except as described in or expressly contemplated by the Registration Statement, the Pricing Disclosure Package and the Prospectus, all the outstanding shares of capital stock of the Company (including the Shares to be sold by the Selling Shareholders)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With respect to the stock options (the “Stock Options”) granted pursuant to the stock-based compensation plans of the Company and its subsidiaries (the “Company Stock Plans”), (i) each Stock Option intended to qualify as an “incentive stock option” under Section 422 of the Code (as defined below)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IFRS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(including the Share Repurchase) has been duly and validly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 xml:space="preserve">Underwriting Agreement; Share Repurchase. </w:t>
      </w:r>
      <w:r>
        <w:rPr>
          <w:rFonts w:ascii="Times New Roman;Times;Serif" w:hAnsi="Times New Roman;Times;Serif"/>
          <w:b w:val="false"/>
          <w:i w:val="false"/>
          <w:caps w:val="false"/>
          <w:smallCaps w:val="false"/>
          <w:sz w:val="20"/>
        </w:rPr>
        <w:t>This Agreement has been duly authorized, executed and delivered by the Company, and the Share Repurchase has been duly authorized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eXtensible Business Reporting Language</w:t>
      </w:r>
      <w:r>
        <w:rPr>
          <w:rFonts w:ascii="Times New Roman;Times;Serif" w:hAnsi="Times New Roman;Times;Serif"/>
          <w:b w:val="false"/>
          <w:i w:val="false"/>
          <w:caps w:val="false"/>
          <w:smallCaps w:val="false"/>
          <w:sz w:val="20"/>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Descriptions of the Underwriting Agreement.</w:t>
      </w:r>
      <w:r>
        <w:rPr>
          <w:rFonts w:ascii="Times New Roman;Times;Serif" w:hAnsi="Times New Roman;Times;Serif"/>
          <w:b w:val="false"/>
          <w:i w:val="false"/>
          <w:caps w:val="false"/>
          <w:smallCaps w:val="false"/>
          <w:sz w:val="20"/>
        </w:rPr>
        <w:t xml:space="preserve"> This Agreement conforms in all material respects to the description thereof contained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No Violation or Default.</w:t>
      </w:r>
      <w:r>
        <w:rPr>
          <w:rFonts w:ascii="Times New Roman;Times;Serif" w:hAnsi="Times New Roman;Times;Serif"/>
          <w:b w:val="false"/>
          <w:i w:val="false"/>
          <w:caps w:val="false"/>
          <w:smallCaps w:val="false"/>
          <w:sz w:val="20"/>
        </w:rPr>
        <w:t xml:space="preserve"> Neither the Company nor any of its subsidiaries is (i) in violation of its memorandum and articles of association, charter or by-laws, partnership agreement, operating agreement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 xml:space="preserve">No Conflicts. </w:t>
      </w:r>
      <w:r>
        <w:rPr>
          <w:rFonts w:ascii="Times New Roman;Times;Serif" w:hAnsi="Times New Roman;Times;Serif"/>
          <w:b w:val="false"/>
          <w:i w:val="false"/>
          <w:caps w:val="false"/>
          <w:smallCaps w:val="false"/>
          <w:sz w:val="20"/>
        </w:rPr>
        <w:t>The execution, delivery and performance by the Company of this Agreement, the sale of the Shares by the Selling Shareholders and the consummation by the Company and the Selling Shareholders of the transactions contemplated by this Agreement or the Pricing Disclosure Package and the Prospectus (including the Share Repurchase)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memorandum and articles of association, charter or by-laws, partnership agreement, operating agreement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No Consents Required.</w:t>
      </w:r>
      <w:r>
        <w:rPr>
          <w:rFonts w:ascii="Times New Roman;Times;Serif" w:hAnsi="Times New Roman;Times;Serif"/>
          <w:b w:val="false"/>
          <w:i w:val="false"/>
          <w:caps w:val="false"/>
          <w:smallCaps w:val="false"/>
          <w:sz w:val="20"/>
        </w:rPr>
        <w:t xml:space="preserve"> No consent, approval, authorization, order, registration or qualification of or with any court or arbitrator or governmental or regulatory authority is required for the execution, delivery and performance by the Company of this Agreement and the consummation of the transactions contemplated by this Agreement (including the Share Repurchase), except for (i) the registration of the Shares under the Securities Act, (ii)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 and (iii) filings with, notices to or approvals from the applicable gaming authorities except to the extent where the failure to do so would reasonably be expected to have a Material Adverse Effect, in each case which have been made or obtained or will be obtained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xml:space="preserve"> Except as described in the Registration Statement, the Pricing Disclosure Package and the Prospectus, there are no legal, governmental or regulatory investigations, actions, demands, claims, suits, arbitrations, inquiries or proceedings (“Actions”) pending to which the Company or any of its subsidiaries is or, to the knowledge of the Company, may reasonably be expected to become a party or to which any property of the Company or any of its subsidiaries is, to the knowledge of the Company, or may reasonably be expected to become, the subject of which,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threatened by others, except as would not reasonably be expected, individually or in the aggregate, to have a Material Adverse Effect; and (i) there are no material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KPMG AG, Switzerland, who have audited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Title to Real and Personal Property.</w:t>
      </w:r>
      <w:r>
        <w:rPr>
          <w:rFonts w:ascii="Times New Roman;Times;Serif" w:hAnsi="Times New Roman;Times;Serif"/>
          <w:b w:val="false"/>
          <w:i w:val="false"/>
          <w:caps w:val="false"/>
          <w:smallCaps w:val="false"/>
          <w:sz w:val="20"/>
        </w:rPr>
        <w:t xml:space="preserve"> The Company and its subsidiaries have good and marketable title, or have valid rights to lease or otherwise use, all items of real and personal property (other than Intellectual Property (as defined below), which is addressed exclusively in Section ‎3(w) below)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taken as a whole, or (ii) could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xml:space="preserve"> (i) The Company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as currently conducted, except where such failure to own or possess such rights would not reasonably be expected, individually or in the aggregate, to have a Material Adverse Effect; (ii) the Company’s and its subsidiaries’ conduct of their respective businesses does not infringe, misappropriate or otherwise violate any Intellectual Property of any person, except as would not reasonably be expected, individually or in the aggregate, to have a Material Adverse Effect; (iii) the Company and its subsidiaries have not received any written notice of any claim relating to Intellectual Property, which claim, if determined adversely to the Company or its subsidiaries, would reasonably be expected, individually or in the aggregate, to have a Material Adverse Effect; and (iv) to the knowledge of the Company, the material Intellectual Property of the Company and its subsidiaries is not being infringed, misappropriated or otherwise violated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No Undisclosed Relationships.</w:t>
      </w:r>
      <w:r>
        <w:rPr>
          <w:rFonts w:ascii="Times New Roman;Times;Serif" w:hAnsi="Times New Roman;Times;Serif"/>
          <w:b w:val="false"/>
          <w:i w:val="false"/>
          <w:caps w:val="false"/>
          <w:smallCaps w:val="false"/>
          <w:sz w:val="20"/>
        </w:rPr>
        <w:t xml:space="preserve">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xml:space="preserve"> The Company is not and, after giving effect to the Share Repurchase, will not be required to register as an “investment company” within the meaning of the Investment Company Act of 1940, as amended, and the rules and regulations of the Commission thereunder (collectively,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Except as otherwise disclosed in each of the Registration Statement, the Pricing Disclosure Package and the Prospectus, (i) the Company and its subsidiaries have paid all applicable, federal, state, local and foreign taxes and filed all tax returns required to be paid or filed through the date hereof, except where the failure to file or pay would not reasonably be expected, individually or in the aggregate, to have a Material Adverse Effect or except as currently being contested in good faith and for which reserves required by IFRS have been created in the applicable financial statements; and (ii) to the Company’s knowledge, there is no tax deficiency that has been, or would reasonably be expected to be, asserted against the Company or any of its subsidiaries or any of their respective properties or assets that would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Licenses and Permits.</w:t>
      </w:r>
      <w:r>
        <w:rPr>
          <w:rFonts w:ascii="Times New Roman;Times;Serif" w:hAnsi="Times New Roman;Times;Serif"/>
          <w:b w:val="false"/>
          <w:i w:val="false"/>
          <w:caps w:val="false"/>
          <w:smallCaps w:val="false"/>
          <w:sz w:val="20"/>
        </w:rPr>
        <w:t xml:space="preserve"> Except as otherwise disclosed in each of the Registration Statement, the Pricing Disclosure Package and the Prospectus, the Company and its subsidiaries possess all licenses, sub-licenses,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reasonably be expected, individually or in the aggregate, to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No Labor Disputes.</w:t>
      </w:r>
      <w:r>
        <w:rPr>
          <w:rFonts w:ascii="Times New Roman;Times;Serif" w:hAnsi="Times New Roman;Times;Serif"/>
          <w:b w:val="false"/>
          <w:i w:val="false"/>
          <w:caps w:val="false"/>
          <w:smallCaps w:val="false"/>
          <w:sz w:val="20"/>
        </w:rPr>
        <w:t xml:space="preserve">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individually or in the aggregate, to have a Material Adverse Effect. Neither the Company nor any of its subsidiaries has received any notice of cancellation or termination with respect to any material collective bargaining agreement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Certain Environmental Matters</w:t>
      </w:r>
      <w:r>
        <w:rPr>
          <w:rFonts w:ascii="Times New Roman;Times;Serif" w:hAnsi="Times New Roman;Times;Serif"/>
          <w:b w:val="false"/>
          <w:i w:val="false"/>
          <w:caps w:val="false"/>
          <w:smallCaps w:val="false"/>
          <w:sz w:val="20"/>
        </w:rPr>
        <w:t>. (i) The Company and its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of the Company or any of its subsidiaries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$300,000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Compliance with ERISA</w:t>
      </w:r>
      <w:r>
        <w:rPr>
          <w:rFonts w:ascii="Times New Roman;Times;Serif" w:hAnsi="Times New Roman;Times;Serif"/>
          <w:b w:val="false"/>
          <w:i w:val="false"/>
          <w:caps w:val="false"/>
          <w:smallCaps w:val="false"/>
          <w:sz w:val="20"/>
        </w:rPr>
        <w:t>. Except as would not, individually or in the aggregate, reasonably be expected to have a Material Adverse Effect,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non-exempt prohibited transaction, within the meaning of Section 406 of ERISA or Section 4975 of the Code, has occurred with respect to any Plan, excluding transactions effected pursuant to a statutory or administrative exemption; ; (iii)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(iv) the fair market value of the assets of each Plan subject to Title IV of ERISA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reasonably be expected to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Disclosure Controls</w:t>
      </w:r>
      <w:r>
        <w:rPr>
          <w:rFonts w:ascii="Times New Roman;Times;Serif" w:hAnsi="Times New Roman;Times;Serif"/>
          <w:b w:val="false"/>
          <w:i w:val="false"/>
          <w:caps w:val="false"/>
          <w:smallCaps w:val="false"/>
          <w:sz w:val="20"/>
        </w:rPr>
        <w:t>. Except as otherwise disclosed in the Registration Statement, the Pricing Disclosure Package and the Prospectus, the Company and its subsidiaries, on a consolidated basis,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 xml:space="preserve"> Except as otherwise disclosed in the Registration Statement, the Pricing Disclosure Package and the Prospectus, the Company and its subsidiaries, on a consolidated basis, maintain systems of “internal control over financial reporting” (as defined in Rule 13a-15(f) of the Exchange Act) that complies with the requirements of the Exchange Act and that have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IFRS. Except as otherwise disclosed in the Registration Statement, the Pricing Disclosure Package and the Prospectus, the Company and its subsidiaries, on a consolidated basis,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Except as otherwise disclosed in the Registration Statement, the Pricing Disclosure Package and the Prospectus, there are no material weaknesses in the Company’s internal controls. The Company’s auditors and the audit committee of the board of directors of the Company have been, to the best of the Company’s knowledge,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Company and its subsidiaries have insurance from insurers of recognized financial responsibility against such losses and risks and in such amounts as are, in the reasonable judgment of the Company, prudent and customary in the businesses in which they are engaged; and neither the Company nor any of its subsidiaries has (i) been refused any insurance coverage sought or applied for or (ii) any reason to believe that it will not be able to renew its existing insurance coverage as and when such coverage expires or to obtain similar coverage from similar insurers as may be necessary to continue its business at a cost that would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caps w:val="false"/>
          <w:smallCaps w:val="false"/>
          <w:sz w:val="20"/>
        </w:rPr>
        <w:t xml:space="preserve">Cybersecurity; Data Protection. </w:t>
      </w:r>
      <w:r>
        <w:rPr>
          <w:rFonts w:ascii="Times New Roman;Times;Serif" w:hAnsi="Times New Roman;Times;Serif"/>
          <w:b w:val="false"/>
          <w:i w:val="false"/>
          <w:caps w:val="false"/>
          <w:smallCaps w:val="false"/>
          <w:sz w:val="20"/>
        </w:rPr>
        <w:t>Except as disclosed in the Registration Statement, the Pricing Disclosure Package and the Prospectus, the Company and its subsidiaries’ information technology assets and equipment, computers, systems, networks, hardware, software, websites, applications, and databases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are, to the knowledge of the Company, free and clear of all material bugs, errors, defects, Trojan horses, time bombs, malware and other corruptants. The Company and its subsidiaries have implemented and maintained commercially reasonable controls, policies, procedures, and safeguards to maintain and protect, in all material respects, the integrity, continuous operation, redundancy and security of all IT Systems and data (including all personal, personally identifiable, sensitive, confidential or regulated data (“Personal Data”)) used in connection with their businesses, and there have been no material breaches, violations, outages or unauthorized uses of or accesses to same (“Security Incidents”), except for those that have been remedied without material cost or liability or the duty to notify any other person, nor any material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public notices and statements, and contractual obligations relating to the privacy and security of IT Systems and Personal Data and to the protection of such IT Systems and Personal Data from Security Incidents, including the European Union General Data Protection Regulation (collectively, “Privacy Requirements”). The Company and its subsidiaries have taken all necessary actions to prepare to comply, in all material respects, with all applicable laws and regulations with respect to Personal Data that have been announced as of the date hereof as becoming effective within 12 months after the date hereof, and for which any non-compliance with same would be reasonably likely to create a material liability, as soon they take effect. Neither the Company nor any of its subsidiaries have received written notices of, are subject to, or, to the Company’s knowledge, have been threatened with any Actions arising out of or in connection with any Security Incident or any actual or alleged violation of any Privacy Requirement, except as would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xml:space="preserve"> For the past five years, neither the Company nor any of its subsidiaries, nor any director or officer of the Company or any of its subsidiaries nor, to the knowledge of the Company,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or approval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in order to influence official action, in each case in violation of any applicable anti-corruption laws, or to any person in violation of any applicable anti-corruption laws;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each of its subsidiaries and affiliates have conducted their businesses in compliance with applicable anti-corruption laws and have instituted, maintained and enforced, and will continue to maintain and enforce policies and procedures reasonably designed to promote and achieve compliance with any applicable anti-bribery and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Compliance with Anti-Money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material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 xml:space="preserve">No Conflicts with Sanctions Laws. </w:t>
      </w:r>
      <w:r>
        <w:rPr>
          <w:rFonts w:ascii="Times New Roman;Times;Serif" w:hAnsi="Times New Roman;Times;Serif"/>
          <w:b w:val="false"/>
          <w:i w:val="false"/>
          <w:caps w:val="false"/>
          <w:smallCaps w:val="false"/>
          <w:sz w:val="20"/>
        </w:rPr>
        <w:t>Neither the Company nor any of its subsidiaries, directors, officers or employees, nor, to the knowledge of the Company, any controlled affiliate of the Company or any of its subsidiaries is an individual or entity (“Person”) that is, or is owned or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the Swiss State Secretariat of Economic Affairs (“SECO”), or the Swiss Directorate of International Law (“DIL”) or other applicable sanctions authority (collectively, “Sanctions”), or located, organized or resident in a country or territory that is the subject or target of Sanctions (currently, but without limitation, the Crimea, so-called Donetsk People’s Republic, so-called Luhansk People’s Republic and non-government controlled areas of the Zaporizhzhia and Kherson regions of Ukraine, Cuba, Iran, North Korea and Syria) (each, a “Sanctioned Country”). Since April 24, 2019, the Company and its subsidiaries have not knowingly engaged in, are not now knowingly engaged in, and will not knowingly engage in any dealings or transactions with any Person that at the time of the dealing or transaction is or was the subject or the target of Sanctions or with any Sanctioned Country, in violation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No Restrictions on Subsidiaries</w:t>
      </w:r>
      <w:r>
        <w:rPr>
          <w:rFonts w:ascii="Times New Roman;Times;Serif" w:hAnsi="Times New Roman;Times;Serif"/>
          <w:b w:val="false"/>
          <w:i w:val="false"/>
          <w:caps w:val="false"/>
          <w:smallCaps w:val="false"/>
          <w:sz w:val="20"/>
        </w:rPr>
        <w:t>. Except as disclosed in the Registration Statement, the Pricing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No Broker’s Fees.</w:t>
      </w:r>
      <w:r>
        <w:rPr>
          <w:rFonts w:ascii="Times New Roman;Times;Serif" w:hAnsi="Times New Roman;Times;Serif"/>
          <w:b w:val="false"/>
          <w:i w:val="false"/>
          <w:caps w:val="false"/>
          <w:smallCaps w:val="false"/>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No Registration Rights</w:t>
      </w:r>
      <w:r>
        <w:rPr>
          <w:rFonts w:ascii="Times New Roman;Times;Serif" w:hAnsi="Times New Roman;Times;Serif"/>
          <w:b w:val="false"/>
          <w:i w:val="false"/>
          <w:caps w:val="false"/>
          <w:smallCaps w:val="false"/>
          <w:sz w:val="20"/>
        </w:rPr>
        <w:t>. Except as disclosed in the Registration Statement, the Pricing Disclosure Package and the Prospectus, no person has the right to require the Company or any of its subsidiaries to register any securities for sale under the Securities Act by reason of the filing of the Registration Statement with the Commission, the issuance and sale of the Shares by the Company or, to the knowledge of the Company, the sale of the Shares to be sold by the Selling Shareholders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Neither the Company nor any of its subsidiaries or affiliates has taken, directly or indirectly, any action designed to or that could reasonably be expected to cause or result in any stabilization or manipulation of the price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rPr>
        <w:t>Statistical and Market Data.</w:t>
      </w:r>
      <w:r>
        <w:rPr>
          <w:rFonts w:ascii="Times New Roman;Times;Serif" w:hAnsi="Times New Roman;Times;Serif"/>
          <w:b w:val="false"/>
          <w:i w:val="false"/>
          <w:caps w:val="false"/>
          <w:smallCaps w:val="false"/>
          <w:sz w:val="20"/>
        </w:rPr>
        <w:t xml:space="preserve"> Nothing has come to the attention of the Company that has caused the Company to believe that the statistical and market-related data included in each of the Registration Statement, the Pricing Disclosure Package and the Prospectus is not based on or derived from sources that are reliable and accurate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caps w:val="false"/>
          <w:smallCaps w:val="false"/>
          <w:sz w:val="20"/>
        </w:rPr>
        <w:t>Sarbanes-Oxley Act</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the best of the Company’s knowledge, to comply with any provision of the Sarbanes-Oxley Act of 2002, as amended and the rules and regulations promulgated in connection therewith (the “Sarbanes-Oxley Act”),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caps w:val="false"/>
          <w:smallCaps w:val="false"/>
          <w:sz w:val="20"/>
        </w:rPr>
        <w:t>Status under the Securities Act</w:t>
      </w:r>
      <w:r>
        <w:rPr>
          <w:rFonts w:ascii="Times New Roman;Times;Serif" w:hAnsi="Times New Roman;Times;Serif"/>
          <w:b w:val="false"/>
          <w:i w:val="false"/>
          <w:caps w:val="false"/>
          <w:smallCaps w:val="false"/>
          <w:sz w:val="20"/>
        </w:rPr>
        <w:t xml:space="preserve">. At the time of filing the Registration Statement and any post-effective amendment thereto, at the earliest time thereafter that the Company or any offering participant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caps w:val="false"/>
          <w:smallCaps w:val="false"/>
          <w:sz w:val="20"/>
        </w:rPr>
        <w:t>No Downgrades</w:t>
      </w:r>
      <w:r>
        <w:rPr>
          <w:rFonts w:ascii="Times New Roman;Times;Serif" w:hAnsi="Times New Roman;Times;Serif"/>
          <w:b w:val="false"/>
          <w:i w:val="false"/>
          <w:caps w:val="false"/>
          <w:smallCaps w:val="false"/>
          <w:sz w:val="20"/>
        </w:rPr>
        <w:t>. No downgrading has occurred in the rating accorded any debt securities, convertible securities or preferred stock issued or guaranteed by the Company or any of its subsidiaries that are rated by a “nationally recognized statistical rating organization,” as such term is defined in Section 3(a)(62) of the Exchange Act, and no such organization has publicly announced that it has under surveillance or review with possible negative implications, or has changed its outlook with respect to, its rating of any such debt securities or preferred stock (other than an announcement with positive implications of a possible upgrading).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caps w:val="false"/>
          <w:smallCaps w:val="false"/>
          <w:sz w:val="20"/>
        </w:rPr>
        <w:t>Stamp Taxes</w:t>
      </w:r>
      <w:r>
        <w:rPr>
          <w:rFonts w:ascii="Times New Roman;Times;Serif" w:hAnsi="Times New Roman;Times;Serif"/>
          <w:b w:val="false"/>
          <w:i w:val="false"/>
          <w:caps w:val="false"/>
          <w:smallCaps w:val="false"/>
          <w:sz w:val="20"/>
        </w:rPr>
        <w:t>. Except as otherwise disclosed in each of the Registration Statement, the Pricing Disclosure Package and the Prospectus and except for any net income, capital gains or franchise taxes imposed on the Underwriters, as a result of any present or former connection (other than any connection resulting solely from the transactions contemplated by this Agreement) between the Underwriters and the jurisdiction imposing such tax, no stamp duties or other issuance or transfer taxes are payable by or on behalf of the Underwriters in Switzerland or any political subdivision or taxing authority thereof or therein solely in connection with (A) the execution, delivery and performance of this Agreement, (B) the sale and delivery of the Shares to the Underwriters in the manner contemplated by this Agreement and the Prospectus or (C) the resale and delivery by the Underwriters of the Shares as contemplated herein and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caps w:val="false"/>
          <w:smallCaps w:val="false"/>
          <w:sz w:val="20"/>
        </w:rPr>
        <w:t>No Immunity</w:t>
      </w:r>
      <w:r>
        <w:rPr>
          <w:rFonts w:ascii="Times New Roman;Times;Serif" w:hAnsi="Times New Roman;Times;Serif"/>
          <w:b w:val="false"/>
          <w:i w:val="false"/>
          <w:caps w:val="false"/>
          <w:smallCaps w:val="false"/>
          <w:sz w:val="20"/>
        </w:rPr>
        <w:t>. Neither the Company nor any of its subsidiaries or their properties or assets has immunity under Swiss, U.S. federal or New York state law from any legal action, suit or proceeding, from the giving of any relief in any such legal action, suit or proceeding, from set-off or counterclaim, from the jurisdiction of any Swiss,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‎18(e) of this Agreement, waived, and it will waive, or will cause its subsidiaries to waive, such right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caps w:val="false"/>
          <w:smallCaps w:val="false"/>
          <w:sz w:val="20"/>
        </w:rPr>
        <w:t>Enforcement of Foreign Judgments</w:t>
      </w:r>
      <w:r>
        <w:rPr>
          <w:rFonts w:ascii="Times New Roman;Times;Serif" w:hAnsi="Times New Roman;Times;Serif"/>
          <w:b w:val="false"/>
          <w:i w:val="false"/>
          <w:caps w:val="false"/>
          <w:smallCaps w:val="false"/>
          <w:sz w:val="20"/>
        </w:rPr>
        <w:t xml:space="preserve">.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subject to limitations described in the Registration Statement, the Pricing Disclosure Package and/or the Prospectus, declared enforceable against the Company by the courts of Switzerland, without reconsideration or reexamination of the merits,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case of Switzerland and from a Swiss perspective, such judgment: (i) is given by a foreign court of competent jurisdiction; (ii) imposes on the judgment debtor a liability to pay a liquidated sum for which the judgment has been given; (iii) is final and non-appealable under U.S. federal or state law; (iv) is not in respect of taxes, a fine or a penalty; and (v) was not obtained in a manner and is not of a kind the enforcement of which is contrary to natural justice or the public policy of the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val="false"/>
          <w:i/>
          <w:caps w:val="false"/>
          <w:smallCaps w:val="false"/>
          <w:sz w:val="20"/>
        </w:rPr>
        <w:t>Valid Choice of Law</w:t>
      </w:r>
      <w:r>
        <w:rPr>
          <w:rFonts w:ascii="Times New Roman;Times;Serif" w:hAnsi="Times New Roman;Times;Serif"/>
          <w:b w:val="false"/>
          <w:i w:val="false"/>
          <w:caps w:val="false"/>
          <w:smallCaps w:val="false"/>
          <w:sz w:val="20"/>
        </w:rPr>
        <w:t>. The choice of laws of the State of New York as the governing law of this Agreement is a valid choice of law under the laws of Switzerland and will be honored by the courts of Switzerland, subject to the restrictions described under the caption “Enforceability of civil liabilities” in the Registration Statement, the Pricing Disclosure Package and the Prospectus. The Company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val="false"/>
          <w:i/>
          <w:caps w:val="false"/>
          <w:smallCaps w:val="false"/>
          <w:sz w:val="20"/>
        </w:rPr>
        <w:t>Indemnification and Contribution</w:t>
      </w:r>
      <w:r>
        <w:rPr>
          <w:rFonts w:ascii="Times New Roman;Times;Serif" w:hAnsi="Times New Roman;Times;Serif"/>
          <w:b w:val="false"/>
          <w:i w:val="false"/>
          <w:caps w:val="false"/>
          <w:smallCaps w:val="false"/>
          <w:sz w:val="20"/>
        </w:rPr>
        <w:t>. The indemnification and contribution provisions set forth in Section ‎9(a) hereof do not contravene mandatory Swiss law or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val="false"/>
          <w:i/>
          <w:caps w:val="false"/>
          <w:smallCaps w:val="false"/>
          <w:sz w:val="20"/>
        </w:rPr>
        <w:t>Passive Foreign Investment Company</w:t>
      </w:r>
      <w:r>
        <w:rPr>
          <w:rFonts w:ascii="Times New Roman;Times;Serif" w:hAnsi="Times New Roman;Times;Serif"/>
          <w:b w:val="false"/>
          <w:i w:val="false"/>
          <w:caps w:val="false"/>
          <w:smallCaps w:val="false"/>
          <w:sz w:val="20"/>
        </w:rPr>
        <w:t>. The Company does not believe it should be treated as a “passive foreign investment company” (“PFIC”) as defined in Section 1297 of the Code for its most recently completed taxable year, and based on its current operations, income, assets and certain estimates and projections, including as to the relative value of its assets, the Company does not expect to be a PFIC for its current taxable year or to become one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Except as disclosed in the Registration Statement, the Pricing Disclosure Package and the Prospectus, no approvals are currently required in Switzerland in order for the Company to pay dividends or other distributions declared by the Company to the holders of Shares. Under current laws and regulations of Switzerland and any political subdivision thereof, any amount payable with respect to the Shares upon liquidation of the Company or upon redemption thereof and dividends and other distributions declared and payable on the share capital of the Company may be paid by the Company in United States dollars or euros and freely transferred out of Switzerland, and except as disclosed in the Registration Statement, the Pricing Disclosure Package and the Prospectus, no such payments made to the holders thereof who are non-residents of Switzerland will be subject to income, withholding or other taxes under laws and regulations of Switzerland or any political subdivision or taxing authority thereof or therein and without the necessity of obtaining any governmental authorization in Switzerland or any political subdivision or taxing authority thereof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val="false"/>
          <w:i/>
          <w:caps w:val="false"/>
          <w:smallCaps w:val="false"/>
          <w:sz w:val="20"/>
        </w:rPr>
        <w:t>Legality</w:t>
      </w:r>
      <w:r>
        <w:rPr>
          <w:rFonts w:ascii="Times New Roman;Times;Serif" w:hAnsi="Times New Roman;Times;Serif"/>
          <w:b w:val="false"/>
          <w:i w:val="false"/>
          <w:caps w:val="false"/>
          <w:smallCaps w:val="false"/>
          <w:sz w:val="20"/>
        </w:rPr>
        <w:t>. The legality, validity, enforceability or admissibility into evidence of any of the Registration Statement, the Pricing Disclosure Package, the Prospectus, this Agreement or the Shares in any jurisdiction in which the Company is incorporated or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val="false"/>
          <w:i/>
          <w:caps w:val="false"/>
          <w:smallCaps w:val="false"/>
          <w:sz w:val="20"/>
        </w:rPr>
        <w:t>Legal Action</w:t>
      </w:r>
      <w:r>
        <w:rPr>
          <w:rFonts w:ascii="Times New Roman;Times;Serif" w:hAnsi="Times New Roman;Times;Serif"/>
          <w:b w:val="false"/>
          <w:i w:val="false"/>
          <w:caps w:val="false"/>
          <w:smallCaps w:val="false"/>
          <w:sz w:val="20"/>
        </w:rPr>
        <w:t>. A holder of the Shares and each Underwriter are each entitled to sue as plaintiff in the court of the jurisdiction of formation and domicile of the Company for the enforcement of their respective rights under this Agreement and the Shares and such access to such courts will not be subject to any conditions which are not applicable to residents of such jurisdiction or a company incorporated in such jurisdiction except that plaintiffs not residing in Switzerland may be required to guarantee payment of a possible order for payment of costs or damages at the request of the defendant.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val="false"/>
          <w:i/>
          <w:caps w:val="false"/>
          <w:smallCaps w:val="false"/>
          <w:sz w:val="20"/>
        </w:rPr>
        <w:t>Foreign Private Issuer</w:t>
      </w:r>
      <w:r>
        <w:rPr>
          <w:rFonts w:ascii="Times New Roman;Times;Serif" w:hAnsi="Times New Roman;Times;Serif"/>
          <w:b w:val="false"/>
          <w:i w:val="false"/>
          <w:caps w:val="false"/>
          <w:smallCaps w:val="false"/>
          <w:sz w:val="20"/>
        </w:rPr>
        <w:t>. The Company is a “foreign private issuer”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val="false"/>
          <w:i/>
          <w:caps w:val="false"/>
          <w:smallCaps w:val="false"/>
          <w:sz w:val="20"/>
        </w:rPr>
        <w:t>Enforceability in Switzerland.</w:t>
      </w:r>
      <w:r>
        <w:rPr>
          <w:rFonts w:ascii="Times New Roman;Times;Serif" w:hAnsi="Times New Roman;Times;Serif"/>
          <w:b w:val="false"/>
          <w:i w:val="false"/>
          <w:caps w:val="false"/>
          <w:smallCaps w:val="false"/>
          <w:sz w:val="20"/>
        </w:rPr>
        <w:t xml:space="preserve"> It is not necessary under the laws of Switzerland (i) to enable the Underwriters to enforce their rights under this Agreement, to enable any holder of Shares to enforce their respective rights thereunder, provided that they are not otherwise engaged in business in Switzerland or (ii) solely by reason of the execution, delivery or consummation of this Agreement for any of the Underwriters or any holder of Shares of the Company to be qualified or entitled to carry out business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val="false"/>
          <w:i/>
          <w:caps w:val="false"/>
          <w:smallCaps w:val="false"/>
          <w:sz w:val="20"/>
        </w:rPr>
        <w:t>Proper Form for Enforcement.</w:t>
      </w:r>
      <w:r>
        <w:rPr>
          <w:rFonts w:ascii="Times New Roman;Times;Serif" w:hAnsi="Times New Roman;Times;Serif"/>
          <w:b w:val="false"/>
          <w:i w:val="false"/>
          <w:caps w:val="false"/>
          <w:smallCaps w:val="false"/>
          <w:sz w:val="20"/>
        </w:rPr>
        <w:t xml:space="preserve"> This Agreement is in proper form under the laws of Switzerland for the enforcement thereof against the Company, and to ensure the legality, validity, enforceability or admissibility into evidence in Switzerland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val="false"/>
          <w:i/>
          <w:caps w:val="false"/>
          <w:smallCaps w:val="false"/>
          <w:sz w:val="20"/>
        </w:rPr>
        <w:t xml:space="preserve">Gaming Regulation. </w:t>
      </w:r>
      <w:r>
        <w:rPr>
          <w:rFonts w:ascii="Times New Roman;Times;Serif" w:hAnsi="Times New Roman;Times;Serif"/>
          <w:b w:val="false"/>
          <w:i w:val="false"/>
          <w:caps w:val="false"/>
          <w:smallCaps w:val="false"/>
          <w:sz w:val="20"/>
        </w:rPr>
        <w:t>(i) Where required to do so under applicable gaming law or as requested by any gaming regulatory authority, all relevant directors, officers, contractors and employees of the Company have obtained and hold, or applied for, or are in the process or will be in the process of obtaining, holding and applying for, personal management licenses (or jurisdictional equivalent license) and those licenses, registrations or findings of suitability, or applications for the same, are in full force and effect or remain pending; (ii) The Company has not done or omitted to do anything in breach of the applicable gaming laws of any jurisdictions in which it holds a relevant gaming license; and (iii) The Company has not received a written notice from a governmental entity alleging that the business of the Company infringes or violates any applicable gaming law in any material respect or is in material breach of the terms of any relevant gaming license held by the Company or that such a governmental entity intends to pursue any review or investigation which might conclude with the imposition of any material sanction on the Company except in each case with respect to the events or conditions set forth in (i) through (iii) hereof,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Outbound Investments</w:t>
      </w:r>
      <w:r>
        <w:rPr>
          <w:rFonts w:ascii="Times New Roman;Times;Serif" w:hAnsi="Times New Roman;Times;Serif"/>
          <w:b w:val="false"/>
          <w:i w:val="false"/>
          <w:caps w:val="false"/>
          <w:smallCaps w:val="false"/>
          <w:sz w:val="20"/>
        </w:rPr>
        <w:t>. Neither the Company nor any of its subsidiaries is a “covered foreign person” as that term is used in the Outbound Investment Rules.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the Underwriters to be in violation of the Outbound Investment Rules or cause the Underwriters to be legally prohibited by the Outbound Investment Rules from performing under this Agreement. For the purpose of this Agreement,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§850.202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Representations and Warranties of the Selling Shareholders</w:t>
      </w:r>
      <w:r>
        <w:rPr>
          <w:rFonts w:ascii="Times New Roman;Times;Serif" w:hAnsi="Times New Roman;Times;Serif"/>
          <w:b w:val="false"/>
          <w:i w:val="false"/>
          <w:caps w:val="false"/>
          <w:smallCaps w:val="false"/>
          <w:sz w:val="20"/>
        </w:rPr>
        <w:t>. Each of the Selling Shareholders severally and not jointly, represents and warrants to each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Organization and Good Standing</w:t>
      </w:r>
      <w:r>
        <w:rPr>
          <w:rFonts w:ascii="Times New Roman;Times;Serif" w:hAnsi="Times New Roman;Times;Serif"/>
          <w:b w:val="false"/>
          <w:i w:val="false"/>
          <w:caps w:val="false"/>
          <w:smallCaps w:val="false"/>
          <w:sz w:val="20"/>
        </w:rPr>
        <w:t>. Such Selling Shareholder that is a corporate entity has been duly organized or formed and is validly existing and in good standing under the laws of its respective jurisdiction of organization or 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All consents, approvals, authorizations and orders necessary for the execution and delivery by such Selling Shareholder of this Agreement, and for the sale and delivery of the Shares to be sold by such Selling Shareholder hereunder, have been obtained; and such Selling Shareholder has full right, power and authority to execute and deliver this Agreement and to perform its obligations hereunder and to sell, assign, transfer and deliver the Shares to be sold by such Selling Shareholder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The Underwriting Agreement</w:t>
      </w:r>
      <w:r>
        <w:rPr>
          <w:rFonts w:ascii="Times New Roman;Times;Serif" w:hAnsi="Times New Roman;Times;Serif"/>
          <w:b w:val="false"/>
          <w:i w:val="false"/>
          <w:caps w:val="false"/>
          <w:smallCaps w:val="false"/>
          <w:sz w:val="20"/>
        </w:rPr>
        <w:t>. This Agreement has been duly authorized, executed and delivered by such Selling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 The execution, delivery and performance by such Selling Shareholder of this Agreement, the sale of the Shares to be sold by such Selling Shareholder and the consummation by such Selling Shareholder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Shareholder pursuant to, any indenture, mortgage, deed of trust, loan agreement or other agreement or instrument to which such Selling Shareholder is a party or by which such Selling Shareholder is bound or to which any of the property, right or asset of such Selling Shareholder is subject or (ii) result in the violation of any law or statute or any judgment, order, rule or regulation of any court or arbitrator or governmental or regulatory agency applicable to such Selling Shareholder, except, in the case of clauses ‎(i) and (ii) above, for any such conflict, breach, violation, default, lien, charge or encumbrance that would not reasonably be expected, individually or in the aggregate, to materially impact such Selling Shareholder’s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Title to Shares.</w:t>
      </w:r>
      <w:r>
        <w:rPr>
          <w:rFonts w:ascii="Times New Roman;Times;Serif" w:hAnsi="Times New Roman;Times;Serif"/>
          <w:b w:val="false"/>
          <w:i w:val="false"/>
          <w:caps w:val="false"/>
          <w:smallCaps w:val="false"/>
          <w:sz w:val="20"/>
        </w:rPr>
        <w:t xml:space="preserve"> Such Selling Shareholder has, or will have immediately prior to the Closing Date or Additional Closing Date, as the case may be, good and valid title or a valid “security entitlement” (within the meaning of Section 8-102 of the New York Uniform Commercial Code (the “UCC”)) to the Shares to be sold at the Closing Date or the Additional Closing Date, as the case may be, by such Selling Shareholder hereunder, free and clear of all liens, encumbrances, equities or adverse claims; and, upon delivery of evidence representing the book entry of such Shares against payment therefor pursuant hereto, good and valid title to such Shares, free and clear of all liens, encumbrances, equities or adverse claims, will pass to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Such Selling Shareholder has not taken and will not take, directly or indirectly, any action designed to or that could reasonably be expected to cause or result in any stabilization or manipulation of the price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Pricing Disclosure Package</w:t>
      </w:r>
      <w:r>
        <w:rPr>
          <w:rFonts w:ascii="Times New Roman;Times;Serif" w:hAnsi="Times New Roman;Times;Serif"/>
          <w:b w:val="false"/>
          <w:i w:val="false"/>
          <w:caps w:val="false"/>
          <w:smallCaps w:val="false"/>
          <w:sz w:val="20"/>
        </w:rPr>
        <w:t xml:space="preserve">. The Pricing Disclosure Package, at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such Selling Shareholder makes such representation or warranty solely with respect to the Selling Shareholder Information (as defined below) that such Selling Shareholder furnished to the Company in writing expressly for use therein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representation under this Section 4(g) shall only apply to any untrue statement of a material fact or omission to state a material fact made in reliance therewith. It being understood and agreed that for purposes of this Agreement, the only information furnished by any Selling Shareholder consists of (A) the legal name and address of such Selling Shareholder and the other information about such Selling Shareholder set forth in the footnote relating to such Selling Shareholder under the caption “</w:t>
      </w:r>
      <w:r>
        <w:rPr>
          <w:rFonts w:ascii="Times New Roman;Times;Serif" w:hAnsi="Times New Roman;Times;Serif"/>
          <w:b w:val="false"/>
          <w:i/>
          <w:caps w:val="false"/>
          <w:smallCaps w:val="false"/>
          <w:sz w:val="20"/>
        </w:rPr>
        <w:t>Principal and Selling Shareholders</w:t>
      </w:r>
      <w:r>
        <w:rPr>
          <w:rFonts w:ascii="Times New Roman;Times;Serif" w:hAnsi="Times New Roman;Times;Serif"/>
          <w:b w:val="false"/>
          <w:i w:val="false"/>
          <w:caps w:val="false"/>
          <w:smallCaps w:val="false"/>
          <w:sz w:val="20"/>
        </w:rPr>
        <w:t>” and (B) the number of Class A Ordinary Shares beneficially owned by such Selling Shareholder before and after the offering (excluding percentages) that appears in the table (and corresponding footnotes) under the caption “</w:t>
      </w:r>
      <w:r>
        <w:rPr>
          <w:rFonts w:ascii="Times New Roman;Times;Serif" w:hAnsi="Times New Roman;Times;Serif"/>
          <w:b w:val="false"/>
          <w:i/>
          <w:caps w:val="false"/>
          <w:smallCaps w:val="false"/>
          <w:sz w:val="20"/>
        </w:rPr>
        <w:t>Principal and Selling Shareholder</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Selling Shareholder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Issuer Free Writing Prospectus and Written Testing-the-Waters Communication. </w:t>
      </w:r>
      <w:r>
        <w:rPr>
          <w:rFonts w:ascii="Times New Roman;Times;Serif" w:hAnsi="Times New Roman;Times;Serif"/>
          <w:b w:val="false"/>
          <w:i w:val="false"/>
          <w:caps w:val="false"/>
          <w:smallCaps w:val="false"/>
          <w:sz w:val="20"/>
        </w:rPr>
        <w:t>Other than the Registration Statement, the Preliminary Prospectus and the Prospectus, such Selling Shareholder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As of the applicable effective date of the Registration Statement and any post-effective amendment 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such Selling Shareholder makes such representation or warranty solely with respect to the Selling Shareholder Information that such Selling Shareholder furnished to the Company in writing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Selling Shareholder’s representation under this Section 4(i) shall only apply to any statement of a material fact or omission to state a material fact made in reliance upon and in conformity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Clean Hands</w:t>
      </w:r>
      <w:r>
        <w:rPr>
          <w:rFonts w:ascii="Times New Roman;Times;Serif" w:hAnsi="Times New Roman;Times;Serif"/>
          <w:b w:val="false"/>
          <w:i w:val="false"/>
          <w:caps w:val="false"/>
          <w:smallCaps w:val="false"/>
          <w:sz w:val="20"/>
        </w:rPr>
        <w:t>. Solely in respect of Mr. Koerl, as of the date hereof and as of the Additional Closing Date, the sale of the Shares by Mr. Koerl is not prompted by any material information concerning the Company or its subsidiaries, taken as a whole, which is not set forth in the Registration Statement, the Pricing Disclosure Package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Stamp Taxes</w:t>
      </w:r>
      <w:r>
        <w:rPr>
          <w:rFonts w:ascii="Times New Roman;Times;Serif" w:hAnsi="Times New Roman;Times;Serif"/>
          <w:b w:val="false"/>
          <w:i w:val="false"/>
          <w:caps w:val="false"/>
          <w:smallCaps w:val="false"/>
          <w:sz w:val="20"/>
        </w:rPr>
        <w:t>. Except as otherwise disclosed in each of the Registration Statement, the Pricing Disclosure Package and the Prospectus and except for any net income, capital gains or franchise taxes imposed on the Underwriters, as a result of any present or former connection (other than any connection resulting solely from the transactions contemplated by this Agreement) between the Underwriters and the jurisdiction imposing such tax, no stamp duties or other issuance or transfer taxes are payable by or on behalf of the Underwriters in the jurisdiction of organization or formation of such Selling Shareholder or any political subdivision or taxing authority thereof or therein solely in connection with (A) the execution, delivery and performance of this Agreement, (B) the sale and delivery of the Shares by such Selling Shareholder in the manner contemplated by this Agreement and the Prospectus or (C) the resale and delivery by the Underwriters of the Shares as contemplated herein and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Further Agreements of the Company</w:t>
      </w:r>
      <w:r>
        <w:rPr>
          <w:rFonts w:ascii="Times New Roman;Times;Serif" w:hAnsi="Times New Roman;Times;Serif"/>
          <w:b w:val="false"/>
          <w:i w:val="false"/>
          <w:caps w:val="false"/>
          <w:smallCaps w:val="false"/>
          <w:sz w:val="20"/>
        </w:rPr>
        <w:t>. The Company covenants and agrees with each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Required Filings.</w:t>
      </w:r>
      <w:r>
        <w:rPr>
          <w:rFonts w:ascii="Times New Roman;Times;Serif" w:hAnsi="Times New Roman;Times;Serif"/>
          <w:b w:val="false"/>
          <w:i w:val="false"/>
          <w:caps w:val="false"/>
          <w:smallCaps w:val="false"/>
          <w:sz w:val="20"/>
        </w:rPr>
        <w:t xml:space="preserve"> The Company will file the final Prospectus with the Commission pursuant to Rule 424(b) and Rule 430A, 430B or 430C under the Securities Act no later than the Commission’s close of business on the next business day following the execution and delivery of this Agreement,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Copies.</w:t>
      </w:r>
      <w:r>
        <w:rPr>
          <w:rFonts w:ascii="Times New Roman;Times;Serif" w:hAnsi="Times New Roman;Times;Serif"/>
          <w:b w:val="false"/>
          <w:i w:val="false"/>
          <w:caps w:val="false"/>
          <w:smallCaps w:val="false"/>
          <w:sz w:val="20"/>
        </w:rPr>
        <w:t xml:space="preserve"> The Company will, if requested, deliver, without charge, (i) to the Representatives, two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Amendments or Supplements, Issuer Free Writing Prospectuses.</w:t>
      </w:r>
      <w:r>
        <w:rPr>
          <w:rFonts w:ascii="Times New Roman;Times;Serif" w:hAnsi="Times New Roman;Times;Serif"/>
          <w:b w:val="false"/>
          <w:i w:val="false"/>
          <w:caps w:val="false"/>
          <w:smallCaps w:val="false"/>
          <w:sz w:val="20"/>
        </w:rPr>
        <w:t xml:space="preserve"> Before making, preparing, using, authorizing, approving, referring to or 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to the Representatives.</w:t>
      </w:r>
      <w:r>
        <w:rPr>
          <w:rFonts w:ascii="Times New Roman;Times;Serif" w:hAnsi="Times New Roman;Times;Serif"/>
          <w:b w:val="false"/>
          <w:i w:val="false"/>
          <w:caps w:val="false"/>
          <w:smallCaps w:val="false"/>
          <w:sz w:val="20"/>
        </w:rPr>
        <w:t xml:space="preserve"> The Company will advise the Representatives promptly, and confirm such advice in writing,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(vii) of the receipt by the Company of any notice with respect to any suspension of the qualification of the Shares for offer and sale in any jurisdiction or the initiation or threatening of any proceeding for such purpose and (viii) of the receipt by the Company of any notice of objection of the Commission to the use of the Registration Statement or any post-effective amendment thereto pursuant to Rule 401(g)(2) under the Securities Act;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Ongoing Compliance.</w:t>
      </w:r>
      <w:r>
        <w:rPr>
          <w:rFonts w:ascii="Times New Roman;Times;Serif" w:hAnsi="Times New Roman;Times;Serif"/>
          <w:b w:val="false"/>
          <w:i w:val="false"/>
          <w:caps w:val="false"/>
          <w:smallCaps w:val="false"/>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(and in any event, within three business days)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Blue Sky Compliance.</w:t>
      </w:r>
      <w:r>
        <w:rPr>
          <w:rFonts w:ascii="Times New Roman;Times;Serif" w:hAnsi="Times New Roman;Times;Serif"/>
          <w:b w:val="false"/>
          <w:i w:val="false"/>
          <w:caps w:val="false"/>
          <w:smallCaps w:val="false"/>
          <w:sz w:val="20"/>
        </w:rPr>
        <w:t xml:space="preserve"> The Company will use reasonable best efforts, in cooperation with the Representatives, to qualify the Shares for offer and sale under the securities or Blue Sky laws of such jurisdictions as the Representatives shall reasonably request and will continue such qualifications in effect so long as required for distribution of the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Earning Statement. </w:t>
      </w:r>
      <w:r>
        <w:rPr>
          <w:rFonts w:ascii="Times New Roman;Times;Serif" w:hAnsi="Times New Roman;Times;Serif"/>
          <w:b w:val="false"/>
          <w:i w:val="false"/>
          <w:caps w:val="false"/>
          <w:smallCaps w:val="false"/>
          <w:sz w:val="20"/>
        </w:rPr>
        <w:t>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requirement by furnishing such earning statement on the Commission’s Electronic Data Gathering, Analysis, and Retrieval system (or any successor system)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Clear Market.</w:t>
      </w:r>
      <w:r>
        <w:rPr>
          <w:rFonts w:ascii="Times New Roman;Times;Serif" w:hAnsi="Times New Roman;Times;Serif"/>
          <w:b w:val="false"/>
          <w:i w:val="false"/>
          <w:caps w:val="false"/>
          <w:smallCaps w:val="false"/>
          <w:sz w:val="20"/>
        </w:rPr>
        <w:t xml:space="preserve"> For a period of 75 days after the date of the Prospectus, the Company will not publicly disclose the intention to undertake any of the following or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other than the Shares to be sold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described above do not apply to (i) the Shares to be sold hereunder; (ii)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such recipients enter into a lock-up agreement with the Underwriters; or (iv) the issuance of up to 10.0% of the outstanding shares of Stock, or securities convertible into, exercisable for, or which are otherwise exchangeable for, Stock, immediately following the Closing Date, in acquisitions, licensing agreements or other similar strategic transactions, provided that such recipients enter into a lock-up agreement with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Shelf Renewal</w:t>
      </w:r>
      <w:r>
        <w:rPr>
          <w:rFonts w:ascii="Times New Roman;Times;Serif" w:hAnsi="Times New Roman;Times;Serif"/>
          <w:b w:val="false"/>
          <w:i w:val="false"/>
          <w:caps w:val="false"/>
          <w:smallCaps w:val="false"/>
          <w:sz w:val="20"/>
        </w:rPr>
        <w:t>. If immediately prior to the third anniversary (the “Renewal Deadline”) of the initial effective date of the Registration 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 If the Company is not eligible to file an automatic shelf registration statement, the Company will, prior to the Renewal Deadline, if it has not already done so, file a new shelf registration statement relating to the Shares, in a form satisfactory to the Representative,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Neither the Company nor its subsidiaries or affiliates will take, directly or indirectly, any action designed to or that could reasonably be expected to cause or result in any stabilization or manipulation of the price of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Exchange Listing.</w:t>
      </w:r>
      <w:r>
        <w:rPr>
          <w:rFonts w:ascii="Times New Roman;Times;Serif" w:hAnsi="Times New Roman;Times;Serif"/>
          <w:b w:val="false"/>
          <w:i w:val="false"/>
          <w:caps w:val="false"/>
          <w:smallCaps w:val="false"/>
          <w:sz w:val="20"/>
        </w:rPr>
        <w:t xml:space="preserve"> The Company will use its reasonable best efforts to maintain the listing of the Shares on the Nasdaq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xml:space="preserve"> For a period of two years from the date hereof, the Company will furnish to the Representatives, as soon as commercially reasonable after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will be deemed to have furnished such reports and financial statements to the Representatives to the extent they are filed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Record Retention</w:t>
      </w:r>
      <w:r>
        <w:rPr>
          <w:rFonts w:ascii="Times New Roman;Times;Serif" w:hAnsi="Times New Roman;Times;Serif"/>
          <w:b w:val="false"/>
          <w:i w:val="false"/>
          <w:caps w:val="false"/>
          <w:smallCaps w:val="false"/>
          <w:sz w:val="20"/>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Foreign Private Issuer</w:t>
      </w:r>
      <w:r>
        <w:rPr>
          <w:rFonts w:ascii="Times New Roman;Times;Serif" w:hAnsi="Times New Roman;Times;Serif"/>
          <w:b w:val="false"/>
          <w:i w:val="false"/>
          <w:caps w:val="false"/>
          <w:smallCaps w:val="false"/>
          <w:sz w:val="20"/>
        </w:rPr>
        <w:t>. The Company will promptly notify the Representatives if the Company ceases to be a Foreign Private Issuer at any time prior to the later of (i) completion of the distribution of Shares within the meaning of the Securities Act and (ii) completion of the 75-day restricted period referred to in Section ‎5(h)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 xml:space="preserve">Equity Plan Lock-up. </w:t>
      </w:r>
      <w:r>
        <w:rPr>
          <w:rFonts w:ascii="Times New Roman;Times;Serif" w:hAnsi="Times New Roman;Times;Serif"/>
          <w:b w:val="false"/>
          <w:i w:val="false"/>
          <w:caps w:val="false"/>
          <w:smallCaps w:val="false"/>
          <w:sz w:val="20"/>
        </w:rPr>
        <w:t>The Company will exercise its rights under Section 10.8 (Lock-up Period) of its 2021 Incentive Award Plan to prohibit holders from selling or otherwise transferring Stock and other Company securities for a period of 75 days after the date of the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Further Agreements of the Selling Shareholders</w:t>
      </w:r>
      <w:r>
        <w:rPr>
          <w:rFonts w:ascii="Times New Roman;Times;Serif" w:hAnsi="Times New Roman;Times;Serif"/>
          <w:b w:val="false"/>
          <w:i w:val="false"/>
          <w:caps w:val="false"/>
          <w:smallCaps w:val="false"/>
          <w:sz w:val="20"/>
        </w:rPr>
        <w:t>. Each of the Selling Shareholder severally and not jointly, covenants and agrees with each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Such Selling Shareholder will not take, directly or indirectly, any action designed to or that could reasonably be expected to cause or result in any stabilization or manipulation of the price of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Tax Form and Certification of Beneficial Ownership.</w:t>
      </w:r>
      <w:r>
        <w:rPr>
          <w:rFonts w:ascii="Times New Roman;Times;Serif" w:hAnsi="Times New Roman;Times;Serif"/>
          <w:b w:val="false"/>
          <w:i w:val="false"/>
          <w:caps w:val="false"/>
          <w:smallCaps w:val="false"/>
          <w:sz w:val="20"/>
        </w:rPr>
        <w:t xml:space="preserve"> It will deliver to the Representatives prior to or at the Closing Date (i) a properly completed and executed United States Treasury Department Form W-9 or W-8, as applicable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 and (ii) a properly completed and executed Certification Regarding Beneficial Owners of Legal Entity Customers, together with copies of identifying documentation, and such Selling Shareholder undertakes to provide such additional supporting documentation as each Underwriter may reasonably request in connection with the verification of the foregoing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Tax Indemnity</w:t>
      </w:r>
      <w:r>
        <w:rPr>
          <w:rFonts w:ascii="Times New Roman;Times;Serif" w:hAnsi="Times New Roman;Times;Serif"/>
          <w:b w:val="false"/>
          <w:i w:val="false"/>
          <w:caps w:val="false"/>
          <w:smallCaps w:val="false"/>
          <w:sz w:val="20"/>
        </w:rPr>
        <w:t>. It will indemnify and hold harmless the Underwriters against any documentary, stamp, registration or similar issuance tax, including any interest and penalties, payable in connection with the execution and delivery of this Agreement. All indemnity payments to be made by such Selling Shareholder hereunder in respect of this Section ‎6(c) shall be made without withholding or deduction for or on account of any present or future taxes, duties or governmental charges imposed by Switzerland or the jurisdiction of organization or formation of such Selling Shareholder or any political subdivision or taxing authority thereof or therein, unless such Selling Shareholder is compelled by law to deduct or withhold such taxes, duties or charges. In that event, such Selling Shareholder shall pay such additional amounts as may be necessary in order to ensure that the net amounts received after such withholding or deductions shall equal the amounts that would have been received if no withholding or deduction had been made; provided, however, that no such additional amounts shall be payable on account of (i) any net income, capital gains or franchise taxes, (ii) any taxes, duties or charges that are imposed on an Underwriter as a result of any present or former connection (other than any connection resulting solely from the transactions contemplated by this Agreement) between such Underwriter and the applicable jurisdiction imposing such taxes, duties or charges or (iii) any taxes, duties or charges that would not have been imposed but for the failure of an Underwriter to comply, upon reasonable request by such Selling Shareholder, with any certification, identification or other reporting requirements concerning such Underwriter’s nationality, residence, identity or connection with the applicable jurisdiction imposing such taxes, duties or charges if such compliance is required by law or the administration thereof as a precondition to an exemption from, or reduction in, such taxes, duties or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Such Selling Shareholder will not directly or indirectly use the proceeds of the offering of the Shares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Certain Agreements of the Underwriters</w:t>
      </w:r>
      <w:r>
        <w:rPr>
          <w:rFonts w:ascii="Times New Roman;Times;Serif" w:hAnsi="Times New Roman;Times;Serif"/>
          <w:b w:val="false"/>
          <w:i w:val="false"/>
          <w:caps w:val="false"/>
          <w:smallCaps w:val="false"/>
          <w:sz w:val="20"/>
        </w:rPr>
        <w:t>. Each Underwriter hereby severally represents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has not used and will not use, without the prior written consent of the Company, any free writing prospectus that contains the final terms of the Shares unless such terms have previously been included in a free writing prospectus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is not subject to any pending proceeding under Section 8A of the Securities Act with respect to the offering (and will promptly notify the Company and the Selling Shareholders if any such proceeding against it is initiated during the Prospectus Delivery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has not and will not take any 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xml:space="preserve"> The obligation of each Underwriter to purchase the Underwritten Shares on the Closing Date or the Option Shares on the Additional Closing Date, as the case may be, as provided herein is subject to the performance by the Company and each of the Selling Shareholders of their respective covenants and other obligations hereunder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Registration Compliance; No Stop Order.</w:t>
      </w:r>
      <w:r>
        <w:rPr>
          <w:rFonts w:ascii="Times New Roman;Times;Serif" w:hAnsi="Times New Roman;Times;Serif"/>
          <w:b w:val="false"/>
          <w:i w:val="false"/>
          <w:caps w:val="false"/>
          <w:smallCaps w:val="false"/>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respective representations and warranties of the Company and the Selling Shareholders contained herein shall be true and correct on the date hereof and on and as of the Closing Date or the Additional Closing Date, as the case may be; and the statements of the Company and its officers and of each of the Selling Shareholders made in any certificates delivered pursuant to this Agreement shall be true and correct on and as of the Closing Date or the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The Representatives shall have received on and as of the Closing Date or the Additional Closing Date, as the case may be, (x)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‎(c) and ‎(d) above and (y) a certificate of each of the Selling Shareholders, in form and substance reasonably satisfactory to the Representatives, (A) confirming that the representations of such Selling Shareholder set forth in Sections ‎4(e), ‎4(f) and ‎4(g) hereof is true and correct and (B) confirming that the other representations and warranties of such Selling Shareholder in this agreement are true and correct and that such Selling Shareholder has complied in all material respects with all agreements and satisfied all conditions on its part to be performed or satisfied hereunder at or prior to such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Comfort Letters.</w:t>
      </w:r>
      <w:r>
        <w:rPr>
          <w:rFonts w:ascii="Times New Roman;Times;Serif" w:hAnsi="Times New Roman;Times;Serif"/>
          <w:b w:val="false"/>
          <w:i w:val="false"/>
          <w:caps w:val="false"/>
          <w:smallCaps w:val="false"/>
          <w:sz w:val="20"/>
        </w:rPr>
        <w:t xml:space="preserve"> (i) On the date of this Agreement and on the Closing Date or the Additional Closing Date, as the case may be, KPMG AG, Switzerland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not earlier than the date hereof,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Opinion and 10b-5 Statement of U.S. Counsel for the Company</w:t>
      </w:r>
      <w:r>
        <w:rPr>
          <w:rFonts w:ascii="Times New Roman;Times;Serif" w:hAnsi="Times New Roman;Times;Serif"/>
          <w:b w:val="false"/>
          <w:i w:val="false"/>
          <w:caps w:val="false"/>
          <w:smallCaps w:val="false"/>
          <w:sz w:val="20"/>
        </w:rPr>
        <w:t>. Paul Hastings LLP, U.S. counsel for the 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Opinion of Swiss Counsel for the Company.</w:t>
      </w:r>
      <w:r>
        <w:rPr>
          <w:rFonts w:ascii="Times New Roman;Times;Serif" w:hAnsi="Times New Roman;Times;Serif"/>
          <w:b w:val="false"/>
          <w:i w:val="false"/>
          <w:caps w:val="false"/>
          <w:smallCaps w:val="false"/>
          <w:sz w:val="20"/>
        </w:rPr>
        <w:t xml:space="preserve"> Niederer Kraft Frey Ltd., Swiss counsel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Opinion of Counsel for the Selling Shareholders. </w:t>
      </w:r>
      <w:r>
        <w:rPr>
          <w:rFonts w:ascii="Times New Roman;Times;Serif" w:hAnsi="Times New Roman;Times;Serif"/>
          <w:b w:val="false"/>
          <w:i w:val="false"/>
          <w:caps w:val="false"/>
          <w:smallCaps w:val="false"/>
          <w:sz w:val="20"/>
        </w:rPr>
        <w:t>Each of Paul Hastings LLP, counsel for Carsten Koerl, Torys LLP, counsel for CPP Investment Board Europe Inc., Maples and Calder (Cayman) LLP, Caymen Islands, counsel for TCV IX Sports Corp., and Simpson Thacher &amp; Bartlett LLP, U.S. counsel for TCV IX Sports Corp. shall have furnished to the Representatives, at the request of the respective Selling Shareholders, their written opinion with respect to the applicable Selling Shareholders for whom they are acting as counsel, dated the Closing Date or the Additional Closing Date, as the case may be, and addressed to the Underwriters,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Opinion and 10b-5 Statement of Counsel for the Underwriters.</w:t>
      </w:r>
      <w:r>
        <w:rPr>
          <w:rFonts w:ascii="Times New Roman;Times;Serif" w:hAnsi="Times New Roman;Times;Serif"/>
          <w:b w:val="false"/>
          <w:i w:val="false"/>
          <w:caps w:val="false"/>
          <w:smallCaps w:val="false"/>
          <w:sz w:val="20"/>
        </w:rPr>
        <w:t xml:space="preserve"> The Representatives shall have received on and as of the Closing Date or 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No Legal Impediment to Sale.</w:t>
      </w:r>
      <w:r>
        <w:rPr>
          <w:rFonts w:ascii="Times New Roman;Times;Serif" w:hAnsi="Times New Roman;Times;Serif"/>
          <w:b w:val="false"/>
          <w:i w:val="false"/>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sale of the Shares by the Selling Shareholders; and no injunction or order of any federal, state or foreign court shall have been issued that would, as of the Closing Date or the Additional Closing Date, as the case may be, prevent the sale of the Shares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The Representatives shall have received on and as of the Closing Date or the Additional Closing Date, as the case may be, a commercial register excerpt of the Company and satisfactory evidence of the good standing of the Company’s subsidiaries in their respective jurisdictions of organization (to the extent the concept of good standing or an equivalent concept is applicable in such jurisdiction) as the Representatives may reasonably request, in each case in writing or any standard form of telecommunication from the appropriate governmental authorities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Exchange Listing.</w:t>
      </w:r>
      <w:r>
        <w:rPr>
          <w:rFonts w:ascii="Times New Roman;Times;Serif" w:hAnsi="Times New Roman;Times;Serif"/>
          <w:b w:val="false"/>
          <w:i w:val="false"/>
          <w:caps w:val="false"/>
          <w:smallCaps w:val="false"/>
          <w:sz w:val="20"/>
        </w:rPr>
        <w:t xml:space="preserve"> The Shares to be delivered on the Closing Date or the Additional Closing Date, as the case may be, shall have been approved for listing on the Nasdaq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Lock-up Agreements</w:t>
      </w:r>
      <w:r>
        <w:rPr>
          <w:rFonts w:ascii="Times New Roman;Times;Serif" w:hAnsi="Times New Roman;Times;Serif"/>
          <w:b w:val="false"/>
          <w:i w:val="false"/>
          <w:caps w:val="false"/>
          <w:smallCaps w:val="false"/>
          <w:sz w:val="20"/>
        </w:rPr>
        <w:t>. The “lock-up” agreements, each substantially in the form of Exhibit A hereto, between you and certain shareholders, officers and directors of the Company listed on Schedule 3 hereto, including the Selling Shareholders, relating to sales and certain other dispositions of shares of Stock or certain other securities, delivered to you on or before the date hereof, shall be full force and effect on the Closing Date or the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xml:space="preserve"> On or prior to the Closing Date or the Additional Closing Date, as the case may be, the Company and the Selling Shareholders shall have furnished to the Representatives such further certificates and documents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the Underwriters by the Company.</w:t>
      </w:r>
      <w:r>
        <w:rPr>
          <w:rFonts w:ascii="Times New Roman;Times;Serif" w:hAnsi="Times New Roman;Times;Serif"/>
          <w:b w:val="false"/>
          <w:i w:val="false"/>
          <w:caps w:val="false"/>
          <w:smallCaps w:val="false"/>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reasonably incurred legal fees and other reasonably incurred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or on behalf of such Underwriter through the Representatives expressly for use therein, it being understood and agreed that the only such information furnished by any Underwriter consists of the information described as such in paragraph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the Underwriters by the Selling Shareholders.</w:t>
      </w:r>
      <w:r>
        <w:rPr>
          <w:rFonts w:ascii="Times New Roman;Times;Serif" w:hAnsi="Times New Roman;Times;Serif"/>
          <w:b w:val="false"/>
          <w:i w:val="false"/>
          <w:caps w:val="false"/>
          <w:smallCaps w:val="false"/>
          <w:sz w:val="20"/>
        </w:rPr>
        <w:t xml:space="preserve"> Each of the Selling Shareholders, severally and not jointly, in proportion to the number of Shares to be sold by such Selling Shareholders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but only with respect to, in each case solely to the extent that such losses, claims, damages or liabilities (including, without limitation, reasonably incurred legal fees and other reasonably incurred expenses in connection with any suit, action or proceeding or any claim asserted, promptly after such fees and expenses are incurred), joint or several, that arise out of, or are based upon, any untrue statement or omission or alleged untrue statement or omission made in reliance upon and in conformity with the Selling Shareholder Information furnished to the Company in writing by such Selling Shareholder expressly for use therein; provided, however, that the liability of each Selling Shareholder for indemnity under this subsection shall be limited to an amount equal to the aggregate net proceeds after underwriting commissions and discounts received by such Selling Shareholder from the sale of its Shares by such Selling Shareholder (the “Selling Shareholder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Indemnification of the Company and the Selling Shareholders.</w:t>
      </w:r>
      <w:r>
        <w:rPr>
          <w:rFonts w:ascii="Times New Roman;Times;Serif" w:hAnsi="Times New Roman;Times;Serif"/>
          <w:b w:val="false"/>
          <w:i w:val="false"/>
          <w:caps w:val="false"/>
          <w:smallCaps w:val="false"/>
          <w:sz w:val="20"/>
        </w:rPr>
        <w:t xml:space="preserve"> Each Underwriter agrees, severally and not jointly, to indemnify and hold harmless the Company, its directors, its officers who signed the Registration Statement, the Selling Shareholders and each person, if any, who controls the Company or any Selling Shareholder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sixteenth, seventeenth and eighteenth paragraphs under the caption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and Procedures.</w:t>
      </w:r>
      <w:r>
        <w:rPr>
          <w:rFonts w:ascii="Times New Roman;Times;Serif" w:hAnsi="Times New Roman;Times;Serif"/>
          <w:b w:val="false"/>
          <w:i w:val="false"/>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reasonably incurred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reasonably incurred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Shareholders and any control persons of the Selling Shareholders shall be designated in writing by the applicable Selling Shareholders.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60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If the indemnification provided for in paragraphs ‎(a), ‎(b) or ‎(c)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Shareholders,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Shareholders,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Shareholders, on the one hand, and the Underwriters on the other, shall be deemed to be in the same respective proportions as the net proceeds (before deducting expenses) received by the Selling Shareholders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Shareholders,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Selling Shareholders, on the one hand, or by the Underwriters, on the other hand, and the parties’ relative intent, knowledge, access to information and opportunity to correct or prevent such statement or omission. Each Selling Shareholder’s obligations in this Section 9(e) to contribute are several and not joint with the other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xml:space="preserve"> The Company, the Selling Shareholders and the Underwriters agree that it would not be just and equitable if contribution pursuant to paragraph ‎(e) above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(even if the Selling Shareholders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reasonably incurred legal or other expenses incurred by such Indemnified Person in connection with 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and in no event shall any Selling Shareholder be required to contribute any amount in excess of the amount by which such Selling Shareholder’s Selling Shareholder Proceeds exceed the amount of any damages that such Selling Shareholder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Non-Exclusive Remedies.</w:t>
      </w:r>
      <w:r>
        <w:rPr>
          <w:rFonts w:ascii="Times New Roman;Times;Serif" w:hAnsi="Times New Roman;Times;Serif"/>
          <w:b w:val="false"/>
          <w:i w:val="false"/>
          <w:caps w:val="false"/>
          <w:smallCaps w:val="false"/>
          <w:sz w:val="20"/>
        </w:rPr>
        <w:t xml:space="preserve"> The remedies provided for in this Section ‎9 paragraphs ‎(a) through ‎(f) are not exclusive and shall not limit any rights or remedies which may otherwise be available to any Indemnified Person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become effective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in the absolute discretion of the Representatives, by written notice to the Company and the Selling Shareholders,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Defaulting Underwriter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Shareholders on the terms contained in this Agreement. If, within 36 hours after any such default by any Underwriter, the non-defaulting Underwriters do not arrange for the purchase of such Shares, then the Company and the Selling Shareholders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Shareholders may postpone the Closing Date or the Additional Closing Date, as the case may be, for up to five full business days in order to effect any changes that in the opinion of counsel for the Company, counsel for the Selling Shareholders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giving effect to any arrangements for the purchase of the Shares of a defaulting Underwriter or Underwriters by the non-defaulting Underwriters, the Company and the Selling Shareholders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Shareholders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Shares of a defaulting Underwriter or Underwriters by the non-defaulting Underwriters, the Company and the Selling Shareholders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Shareholders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except that the Company and the Selling Shareholders will continue to be liable for the payment of expenses as set forth in Section ‎13 hereof and except that the provisions of Section ‎9 hereof shall not terminate and shall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relieve a defaulting Underwriter of any liability it may have to the Company, the Selling Shareholders or any non-defaulting Underwriter for damages caused by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with the prior approval of the Company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(such application fees and the fees and disbursements of counsel for the Underwriters pursuant to this clause ‎(vii) and clause (iv) shall not exceed $45,000); (viii)  all expenses incurred by the Company in connection with any “road show” presentation to potential investors,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Underwriters will pay all of the travel, lodging and other expenses of the Underwriters or any of their employees incurred by them in connection with the road show; and (ix) all expenses and application fees related to the listing of the Shares on the Nasdaq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shall not supersede or otherwise affect any agreement that the Selling Shareholders may otherwise have for the allocation of such expenses among themselves. Subject to the provisions of any such agreements, each Selling Shareholder will pay or cause to be paid (i) any fees and expenses of counsel for such Selling Shareholder, (ii) all stamp, issue, transfer and similar taxes incident to the sale and delivery of the Shares to be sold by such Selling Shareholder to the Underwriters hereunder, and (iii) if the transactions contemplated in this Agreement are consummated, all underwriting discounts and commissions in connection with the sale of the Shares. It is understood that the Company shall bear, and the Selling Shareholders shall not be required to pay or to reimburse the Company for, the cost of any other matters not directly relating to the sale and purchase of the Shares pursuant to this Agreement and that, except as provided in this Section 13, and Sections 9 and 11 hereof, the Underwriters will pay all of their own costs and expenses, including the fees of their counsel, transfer taxes on resale of any of the Shares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this Agreement is terminated pursuant to Section ‎11 (other than as a result of a termination pursuant to clauses ‎(iii) or ‎(iv) of Section ‎11), (ii) the Selling Shareholders for any reason fail to tender the Shares for delivery to the Underwriters (other than as a result of a termination pursuant to clauses ‎(iii) or ‎(iv) of Section ‎11 or the default by one or more of the Underwriters in its or their respective obligations hereunder in which case, only such defaulting Underwriters shall not be entitled to reimbursement)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rights of contribution, representations, warranties and agreements of the Company, the Selling Shareholders and the Underwriters contained in this Agreement or made by or on behalf of the Company, the Selling Shareholders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Shareholders or the Underwriters or the directors, officers, controlling persons or affiliates referred to in Section ‎9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the Underwriters are required to obtain, verify and record information that identifies their respective clients, including the Company and the Selling Shareholders,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Goldman Sachs &amp; Co. LLC, 200 West Street, New York, New York 10282, Attention: Registration Department, Fax No.: (212) 902-9316, Email: registration-syndops@ny.email.gs.com and c/o J.P. Morgan Securities LLC, 383 Madison Avenue, New York, New York 10179 (fax: (212) 622-8358), Attention: Equity Syndicate Desk. Notices to the Company and Carsten Koerl shall be given at Sportradar US LLC, 810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Avenue New York, NY 10019, Attention: Office of the General Counsel. Notices to the Selling Shareholders shall be given to (i) TCV IX Sports Corp. at c/o TCV, 250 Middlefield Road, Menlo Park, California 94025, Attention: General Counsel, E-mail: legal@tcv.com, (ii) CPP Investment Board Europe Inc., c/o CPP Investments, One Queen Street East, Suite 2500, Toronto, Ontario M5C 2W5 Canada, Attention: Pascal Keutgens, with a copy (which shall not constitute notice) to Torys LLP, 1114 Avenue of the Americas, 23rd Floor, New York, NY 10036, Attention: Heding Yang, E-mail: hyang@torys.com.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Each of the Company and the Selling Shareholders hereby submits to the exclusive jurisdiction of the U.S. District Court for the Southern District of New York or, if that court does not have subject matter jurisdiction, in any New York state courts in the Borough of Manhattan in The City of New York in any suit or proceeding arising out of or relating to this Agreement or the transactions contemplated hereby. Each of the Company and the Selling Shareholders waives any objection which it may now or hereafter have to the laying of venue of any such suit or proceeding in such courts. Each of the Company and the Selling Shareholders agrees that final judgment in any such suit, action or proceeding brought in such court shall be conclusive and binding upon the Company and each Selling Shareholder, as applicable, and may be enforced in any court to the jurisdiction of which Company and each Selling Shareholder, as applicable, is subject by a suit upon such judgment. Each of the Company and Carsten Koerl irrevocably appoints Sportradar US LLC, located at 420 North 5th St., Minneapolis, Minnesota 55401, CPPIB irrevocably appoints CPPIB America, Inc., located at 51 West 52nd Street, 35th floor, New York, NY, 10019, and TCV irrevocably appoints TCV IX Sports Corp., located at 250 Middlefield Road, Menlo Park, California 94025, as its authorized agent upon which process may be served in any such suit or proceeding, as such party’s authorized agent upon which process may be served in any such suit or proceeding, and agrees that service of process upon such authorized agent, and written notice of such service to the Company or any such Selling Shareholder, as the case may be, by the person serving the same to the address provided in this Section 18(c), shall be deemed in every respect effective service of process upon the Company and such Selling Shareholder in any such suit or proceeding. Each of the Company and the Selling Shareholders hereby represents and warrants that such authorized agent, as applicable, has accepted such appointment and has agreed to act as such authorized agent for service of process. Each of the Company and the Selling Shareholders further, severally and not jointly, agrees to take any and all action as may be necessary to maintain such designation and appointment of such authorized agent in full force and effect for a period of seven years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 The Company and each Selling Shareholder, severally and not jointly, agree to indemnify each Underwriter, its directors, officers, affiliates and each 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each Selling Shareholder and shall continue in full force and effect notwithstanding any such judgment or order as aforesaid. The term “rate of exchange” shall include any premiums and costs of exchange payable in connection with the purchase of, or conversion into, the relevant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Waiver of Immunity</w:t>
      </w:r>
      <w:r>
        <w:rPr>
          <w:rFonts w:ascii="Times New Roman;Times;Serif" w:hAnsi="Times New Roman;Times;Serif"/>
          <w:b w:val="false"/>
          <w:i w:val="false"/>
          <w:caps w:val="false"/>
          <w:smallCaps w:val="false"/>
          <w:sz w:val="20"/>
        </w:rPr>
        <w:t>. To the extent that the Company or any Selling Shareholder has or hereafter may acquire any immunity (sovereign or otherwise) from jurisdiction of any court of (i) Switzerland, or any political subdivision thereof, (ii) the United States or the State of New York, or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and each Selling Shareholder hereby irrevocably waive such immunity in respect of its obligations under this Agreement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of the parties hereto hereby waives any right to trial by jury in any suit or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‎18(g):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xml:space="preserve"> The headings herein are included for convenience of reference only and are not intended to be part of, or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hanging="0"/>
        <w:jc w:val="left"/>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75"/>
        <w:gridCol w:w="504"/>
        <w:gridCol w:w="898"/>
        <w:gridCol w:w="3177"/>
      </w:tblGrid>
      <w:tr>
        <w:trPr/>
        <w:tc>
          <w:tcPr>
            <w:tcW w:w="75" w:type="dxa"/>
            <w:tcBorders/>
            <w:vAlign w:val="center"/>
          </w:tcPr>
          <w:p>
            <w:pPr>
              <w:pStyle w:val="TableContents"/>
              <w:bidi w:val="0"/>
              <w:spacing w:before="0" w:after="283"/>
              <w:jc w:val="left"/>
              <w:rPr>
                <w:sz w:val="4"/>
                <w:szCs w:val="4"/>
              </w:rPr>
            </w:pPr>
            <w:r>
              <w:rPr>
                <w:sz w:val="4"/>
                <w:szCs w:val="4"/>
              </w:rPr>
            </w:r>
          </w:p>
        </w:tc>
        <w:tc>
          <w:tcPr>
            <w:tcW w:w="4579" w:type="dxa"/>
            <w:gridSpan w:val="3"/>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SPORTRADAR GROUP AG</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By:</w:t>
            </w:r>
          </w:p>
        </w:tc>
        <w:tc>
          <w:tcPr>
            <w:tcW w:w="4075" w:type="dxa"/>
            <w:gridSpan w:val="2"/>
            <w:tcBorders>
              <w:bottom w:val="single" w:sz="8" w:space="0" w:color="000000"/>
            </w:tcBorders>
            <w:tcMar>
              <w:bottom w:w="28" w:type="dxa"/>
            </w:tcMar>
            <w:vAlign w:val="center"/>
          </w:tcPr>
          <w:p>
            <w:pPr>
              <w:pStyle w:val="TableContents"/>
              <w:bidi w:val="0"/>
              <w:spacing w:before="0" w:after="283"/>
              <w:jc w:val="both"/>
              <w:rPr/>
            </w:pPr>
            <w:r>
              <w:rPr/>
              <w:t>/s/ Carsten Koerl</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Name:</w:t>
            </w:r>
          </w:p>
        </w:tc>
        <w:tc>
          <w:tcPr>
            <w:tcW w:w="3177" w:type="dxa"/>
            <w:tcBorders/>
            <w:vAlign w:val="center"/>
          </w:tcPr>
          <w:p>
            <w:pPr>
              <w:pStyle w:val="TableContents"/>
              <w:bidi w:val="0"/>
              <w:spacing w:before="0" w:after="283"/>
              <w:jc w:val="both"/>
              <w:rPr/>
            </w:pPr>
            <w:r>
              <w:rPr/>
              <w:t>Carsten Koerl</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Title:</w:t>
            </w:r>
          </w:p>
        </w:tc>
        <w:tc>
          <w:tcPr>
            <w:tcW w:w="3177" w:type="dxa"/>
            <w:tcBorders/>
            <w:vAlign w:val="center"/>
          </w:tcPr>
          <w:p>
            <w:pPr>
              <w:pStyle w:val="TableContents"/>
              <w:bidi w:val="0"/>
              <w:spacing w:before="0" w:after="283"/>
              <w:jc w:val="both"/>
              <w:rPr/>
            </w:pPr>
            <w:r>
              <w:rPr/>
              <w:t>Chief Executive Officer</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caps/>
              </w:rPr>
            </w:pPr>
            <w:r>
              <w:rPr>
                <w:caps/>
              </w:rPr>
              <w:t>CPP Investment Board Europe Inc.</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By:</w:t>
            </w:r>
          </w:p>
        </w:tc>
        <w:tc>
          <w:tcPr>
            <w:tcW w:w="4075" w:type="dxa"/>
            <w:gridSpan w:val="2"/>
            <w:tcBorders>
              <w:bottom w:val="single" w:sz="8" w:space="0" w:color="000000"/>
            </w:tcBorders>
            <w:tcMar>
              <w:bottom w:w="28" w:type="dxa"/>
            </w:tcMar>
            <w:vAlign w:val="center"/>
          </w:tcPr>
          <w:p>
            <w:pPr>
              <w:pStyle w:val="TableContents"/>
              <w:bidi w:val="0"/>
              <w:spacing w:before="0" w:after="283"/>
              <w:jc w:val="both"/>
              <w:rPr/>
            </w:pPr>
            <w:r>
              <w:rPr/>
              <w:t>/s/ Sam Blaichman</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Name:</w:t>
            </w:r>
          </w:p>
        </w:tc>
        <w:tc>
          <w:tcPr>
            <w:tcW w:w="3177" w:type="dxa"/>
            <w:tcBorders/>
            <w:vAlign w:val="center"/>
          </w:tcPr>
          <w:p>
            <w:pPr>
              <w:pStyle w:val="TableContents"/>
              <w:bidi w:val="0"/>
              <w:spacing w:before="0" w:after="283"/>
              <w:jc w:val="both"/>
              <w:rPr/>
            </w:pPr>
            <w:r>
              <w:rPr/>
              <w:t>Sam Blaichman</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Title:</w:t>
            </w:r>
          </w:p>
        </w:tc>
        <w:tc>
          <w:tcPr>
            <w:tcW w:w="3177" w:type="dxa"/>
            <w:tcBorders/>
            <w:vAlign w:val="center"/>
          </w:tcPr>
          <w:p>
            <w:pPr>
              <w:pStyle w:val="TableContents"/>
              <w:bidi w:val="0"/>
              <w:spacing w:before="0" w:after="283"/>
              <w:jc w:val="both"/>
              <w:rPr/>
            </w:pPr>
            <w:r>
              <w:rPr/>
              <w:t>Authorized Signatory</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By:</w:t>
            </w:r>
          </w:p>
        </w:tc>
        <w:tc>
          <w:tcPr>
            <w:tcW w:w="4075" w:type="dxa"/>
            <w:gridSpan w:val="2"/>
            <w:tcBorders>
              <w:bottom w:val="single" w:sz="8" w:space="0" w:color="000000"/>
            </w:tcBorders>
            <w:tcMar>
              <w:bottom w:w="28" w:type="dxa"/>
            </w:tcMar>
            <w:vAlign w:val="center"/>
          </w:tcPr>
          <w:p>
            <w:pPr>
              <w:pStyle w:val="TableContents"/>
              <w:bidi w:val="0"/>
              <w:spacing w:before="0" w:after="283"/>
              <w:jc w:val="both"/>
              <w:rPr/>
            </w:pPr>
            <w:r>
              <w:rPr/>
              <w:t>/s/ Pascal Keutgens</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Name:</w:t>
            </w:r>
          </w:p>
        </w:tc>
        <w:tc>
          <w:tcPr>
            <w:tcW w:w="3177" w:type="dxa"/>
            <w:tcBorders/>
            <w:vAlign w:val="center"/>
          </w:tcPr>
          <w:p>
            <w:pPr>
              <w:pStyle w:val="TableContents"/>
              <w:bidi w:val="0"/>
              <w:spacing w:before="0" w:after="283"/>
              <w:jc w:val="both"/>
              <w:rPr/>
            </w:pPr>
            <w:r>
              <w:rPr/>
              <w:t>Pascal Keutgens</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Title:</w:t>
            </w:r>
          </w:p>
        </w:tc>
        <w:tc>
          <w:tcPr>
            <w:tcW w:w="3177" w:type="dxa"/>
            <w:tcBorders/>
            <w:vAlign w:val="center"/>
          </w:tcPr>
          <w:p>
            <w:pPr>
              <w:pStyle w:val="TableContents"/>
              <w:bidi w:val="0"/>
              <w:spacing w:before="0" w:after="283"/>
              <w:jc w:val="both"/>
              <w:rPr/>
            </w:pPr>
            <w:r>
              <w:rPr/>
              <w:t>Authorized Signatory</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caps/>
              </w:rPr>
            </w:pPr>
            <w:r>
              <w:rPr>
                <w:caps/>
              </w:rPr>
              <w:t>TCV IX Sports Corp.</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By:</w:t>
            </w:r>
          </w:p>
        </w:tc>
        <w:tc>
          <w:tcPr>
            <w:tcW w:w="4075" w:type="dxa"/>
            <w:gridSpan w:val="2"/>
            <w:tcBorders>
              <w:bottom w:val="single" w:sz="8" w:space="0" w:color="000000"/>
            </w:tcBorders>
            <w:tcMar>
              <w:bottom w:w="28" w:type="dxa"/>
            </w:tcMar>
            <w:vAlign w:val="center"/>
          </w:tcPr>
          <w:p>
            <w:pPr>
              <w:pStyle w:val="TableContents"/>
              <w:bidi w:val="0"/>
              <w:spacing w:before="0" w:after="283"/>
              <w:jc w:val="both"/>
              <w:rPr/>
            </w:pPr>
            <w:r>
              <w:rPr/>
              <w:t>/s/ John Delfino</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Name:</w:t>
            </w:r>
          </w:p>
        </w:tc>
        <w:tc>
          <w:tcPr>
            <w:tcW w:w="3177" w:type="dxa"/>
            <w:tcBorders/>
            <w:vAlign w:val="center"/>
          </w:tcPr>
          <w:p>
            <w:pPr>
              <w:pStyle w:val="TableContents"/>
              <w:bidi w:val="0"/>
              <w:spacing w:before="0" w:after="283"/>
              <w:jc w:val="both"/>
              <w:rPr/>
            </w:pPr>
            <w:r>
              <w:rPr/>
              <w:t>John Delfino</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898" w:type="dxa"/>
            <w:tcBorders/>
            <w:vAlign w:val="center"/>
          </w:tcPr>
          <w:p>
            <w:pPr>
              <w:pStyle w:val="TableContents"/>
              <w:bidi w:val="0"/>
              <w:spacing w:before="0" w:after="283"/>
              <w:jc w:val="both"/>
              <w:rPr/>
            </w:pPr>
            <w:r>
              <w:rPr/>
              <w:t>Title:</w:t>
            </w:r>
          </w:p>
        </w:tc>
        <w:tc>
          <w:tcPr>
            <w:tcW w:w="3177" w:type="dxa"/>
            <w:tcBorders/>
            <w:vAlign w:val="center"/>
          </w:tcPr>
          <w:p>
            <w:pPr>
              <w:pStyle w:val="TableContents"/>
              <w:bidi w:val="0"/>
              <w:spacing w:before="0" w:after="283"/>
              <w:jc w:val="both"/>
              <w:rPr/>
            </w:pPr>
            <w:r>
              <w:rPr/>
              <w:t>Authorized Signatory</w:t>
            </w:r>
          </w:p>
        </w:tc>
      </w:tr>
      <w:tr>
        <w:trPr/>
        <w:tc>
          <w:tcPr>
            <w:tcW w:w="75" w:type="dxa"/>
            <w:tcBorders/>
            <w:vAlign w:val="center"/>
          </w:tcPr>
          <w:p>
            <w:pPr>
              <w:pStyle w:val="TableContents"/>
              <w:bidi w:val="0"/>
              <w:spacing w:before="0" w:after="283"/>
              <w:jc w:val="left"/>
              <w:rPr/>
            </w:pPr>
            <w:r>
              <w:rPr/>
              <w:t> </w:t>
            </w:r>
          </w:p>
        </w:tc>
        <w:tc>
          <w:tcPr>
            <w:tcW w:w="45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4075" w:type="dxa"/>
            <w:gridSpan w:val="2"/>
            <w:tcBorders>
              <w:bottom w:val="single" w:sz="8" w:space="0" w:color="000000"/>
            </w:tcBorders>
            <w:tcMar>
              <w:bottom w:w="28" w:type="dxa"/>
            </w:tcMar>
            <w:vAlign w:val="center"/>
          </w:tcPr>
          <w:p>
            <w:pPr>
              <w:pStyle w:val="TableContents"/>
              <w:bidi w:val="0"/>
              <w:spacing w:before="0" w:after="283"/>
              <w:jc w:val="both"/>
              <w:rPr/>
            </w:pPr>
            <w:r>
              <w:rPr/>
              <w:t>/s/ Carsten Koerl</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both"/>
              <w:rPr/>
            </w:pPr>
            <w:r>
              <w:rPr/>
              <w:t> </w:t>
            </w:r>
          </w:p>
        </w:tc>
        <w:tc>
          <w:tcPr>
            <w:tcW w:w="4075" w:type="dxa"/>
            <w:gridSpan w:val="2"/>
            <w:tcBorders/>
            <w:vAlign w:val="center"/>
          </w:tcPr>
          <w:p>
            <w:pPr>
              <w:pStyle w:val="TableContents"/>
              <w:bidi w:val="0"/>
              <w:spacing w:before="0" w:after="283"/>
              <w:jc w:val="both"/>
              <w:rPr/>
            </w:pPr>
            <w:r>
              <w:rPr/>
              <w:t>CARSTEN KOERL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622"/>
        <w:gridCol w:w="2907"/>
        <w:gridCol w:w="75"/>
      </w:tblGrid>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Goldman Sachs &amp; Co.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for itself and on behalf of the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Underwriters listed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Schedule 1 hereto.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Goldman Sachs &amp; Co.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caps/>
              </w:rPr>
            </w:pPr>
            <w:r>
              <w:rPr>
                <w:caps/>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Cunn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2" w:type="dxa"/>
            <w:tcBorders/>
            <w:vAlign w:val="center"/>
          </w:tcPr>
          <w:p>
            <w:pPr>
              <w:pStyle w:val="TableContents"/>
              <w:bidi w:val="0"/>
              <w:spacing w:before="0" w:after="283"/>
              <w:jc w:val="left"/>
              <w:rPr>
                <w:caps w:val="false"/>
                <w:smallCaps w:val="false"/>
              </w:rPr>
            </w:pPr>
            <w:r>
              <w:rPr>
                <w:caps w:val="false"/>
                <w:smallCaps w:val="false"/>
              </w:rPr>
              <w:t> </w:t>
            </w:r>
          </w:p>
        </w:tc>
        <w:tc>
          <w:tcPr>
            <w:tcW w:w="29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Alice Takhtajan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2" w:type="dxa"/>
            <w:tcBorders/>
            <w:vAlign w:val="center"/>
          </w:tcPr>
          <w:p>
            <w:pPr>
              <w:pStyle w:val="TableContents"/>
              <w:bidi w:val="0"/>
              <w:spacing w:before="0" w:after="283"/>
              <w:jc w:val="left"/>
              <w:rPr>
                <w:caps w:val="false"/>
                <w:smallCaps w:val="false"/>
              </w:rPr>
            </w:pPr>
            <w:r>
              <w:rPr>
                <w:caps w:val="false"/>
                <w:smallCaps w:val="false"/>
              </w:rPr>
              <w:t> </w:t>
            </w:r>
          </w:p>
        </w:tc>
        <w:tc>
          <w:tcPr>
            <w:tcW w:w="29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28" w:type="dxa"/>
          <w:right w:w="0" w:type="dxa"/>
        </w:tblCellMar>
      </w:tblPr>
      <w:tblGrid>
        <w:gridCol w:w="2765"/>
        <w:gridCol w:w="60"/>
        <w:gridCol w:w="150"/>
        <w:gridCol w:w="2404"/>
        <w:gridCol w:w="75"/>
      </w:tblGrid>
      <w:tr>
        <w:trPr/>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Underwritten 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1,916,667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1,916,667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1,916,667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958,333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Benchmark Company,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Canaccord Genuity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JMP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Craig-Hallum Capital Group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&amp; Company,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4"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23,000,000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tbl>
      <w:tblPr>
        <w:tblW w:w="7427" w:type="dxa"/>
        <w:jc w:val="left"/>
        <w:tblInd w:w="0" w:type="dxa"/>
        <w:tblLayout w:type="fixed"/>
        <w:tblCellMar>
          <w:top w:w="0" w:type="dxa"/>
          <w:left w:w="0" w:type="dxa"/>
          <w:bottom w:w="28" w:type="dxa"/>
          <w:right w:w="0" w:type="dxa"/>
        </w:tblCellMar>
      </w:tblPr>
      <w:tblGrid>
        <w:gridCol w:w="2840"/>
        <w:gridCol w:w="60"/>
        <w:gridCol w:w="101"/>
        <w:gridCol w:w="1613"/>
        <w:gridCol w:w="60"/>
        <w:gridCol w:w="60"/>
        <w:gridCol w:w="98"/>
        <w:gridCol w:w="1391"/>
        <w:gridCol w:w="60"/>
        <w:gridCol w:w="60"/>
        <w:gridCol w:w="65"/>
        <w:gridCol w:w="944"/>
        <w:gridCol w:w="7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Underwritten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w:t>
              <w:br/>
              <w:t>Number of Option</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 xml:space="preserve">Repurchase </w:t>
              <w:br/>
              <w:t>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Carsten Koerl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10,190,316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6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94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CPP Investment Board Europe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8,968,005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2,415,330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6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94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TCV IX Sports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3,841,679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1,034,670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Underwriters and the Selling Shareholders shall follow the steps set out below in connection with payment and delivery of the Shares to be sold by the Selling Shareholders pursuant to Section 2 of the Underwriting Agreement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Underwriters shall make payment for the shares to be sold by Mr. Koerl, against delivery of the shares for the account of the Equiniti Trust Company, LLC, as Paying Agent for Mr. Koerl.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shall make payment for the shares to be sold by TCV IX Sports Corp. against delivery of the shares for the account of TCV IX Sports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then make payment for the Repurchase Shares to the Underwriters against delivery of the Repurchase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Underwriters shall then make payment for the shares to be sold by CPP Investment Board Europe Inc., against delivery of the shares for the account of CPP Investment Board Europe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 Signatories</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15"/>
        <w:gridCol w:w="2015"/>
      </w:tblGrid>
      <w:tr>
        <w:trPr/>
        <w:tc>
          <w:tcPr>
            <w:tcW w:w="215" w:type="dxa"/>
            <w:tcBorders/>
            <w:vAlign w:val="center"/>
          </w:tcPr>
          <w:p>
            <w:pPr>
              <w:pStyle w:val="TableContents"/>
              <w:bidi w:val="0"/>
              <w:spacing w:before="0" w:after="283"/>
              <w:jc w:val="left"/>
              <w:rPr/>
            </w:pPr>
            <w:r>
              <w:rPr/>
              <w:t>1.</w:t>
            </w:r>
          </w:p>
        </w:tc>
        <w:tc>
          <w:tcPr>
            <w:tcW w:w="2015" w:type="dxa"/>
            <w:tcBorders/>
            <w:vAlign w:val="center"/>
          </w:tcPr>
          <w:p>
            <w:pPr>
              <w:pStyle w:val="TableContents"/>
              <w:bidi w:val="0"/>
              <w:spacing w:before="0" w:after="283"/>
              <w:jc w:val="left"/>
              <w:rPr/>
            </w:pPr>
            <w:r>
              <w:rPr/>
              <w:t>Deirdre Mary Bigley</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pPr>
            <w:r>
              <w:rPr/>
              <w:t>2.</w:t>
            </w:r>
          </w:p>
        </w:tc>
        <w:tc>
          <w:tcPr>
            <w:tcW w:w="1985" w:type="dxa"/>
            <w:tcBorders/>
            <w:vAlign w:val="center"/>
          </w:tcPr>
          <w:p>
            <w:pPr>
              <w:pStyle w:val="TableContents"/>
              <w:bidi w:val="0"/>
              <w:spacing w:before="0" w:after="283"/>
              <w:jc w:val="left"/>
              <w:rPr/>
            </w:pPr>
            <w:r>
              <w:rPr/>
              <w:t>John Andrew Doran</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15"/>
        <w:gridCol w:w="1265"/>
      </w:tblGrid>
      <w:tr>
        <w:trPr/>
        <w:tc>
          <w:tcPr>
            <w:tcW w:w="215" w:type="dxa"/>
            <w:tcBorders/>
            <w:vAlign w:val="center"/>
          </w:tcPr>
          <w:p>
            <w:pPr>
              <w:pStyle w:val="TableContents"/>
              <w:bidi w:val="0"/>
              <w:spacing w:before="0" w:after="283"/>
              <w:jc w:val="left"/>
              <w:rPr/>
            </w:pPr>
            <w:r>
              <w:rPr/>
              <w:t>3.</w:t>
            </w:r>
          </w:p>
        </w:tc>
        <w:tc>
          <w:tcPr>
            <w:tcW w:w="1265" w:type="dxa"/>
            <w:tcBorders/>
            <w:vAlign w:val="center"/>
          </w:tcPr>
          <w:p>
            <w:pPr>
              <w:pStyle w:val="TableContents"/>
              <w:bidi w:val="0"/>
              <w:spacing w:before="0" w:after="283"/>
              <w:jc w:val="left"/>
              <w:rPr/>
            </w:pPr>
            <w:r>
              <w:rPr/>
              <w:t>George Fleet</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pPr>
            <w:r>
              <w:rPr/>
              <w:t>4.</w:t>
            </w:r>
          </w:p>
        </w:tc>
        <w:tc>
          <w:tcPr>
            <w:tcW w:w="1355" w:type="dxa"/>
            <w:tcBorders/>
            <w:vAlign w:val="center"/>
          </w:tcPr>
          <w:p>
            <w:pPr>
              <w:pStyle w:val="TableContents"/>
              <w:bidi w:val="0"/>
              <w:spacing w:before="0" w:after="283"/>
              <w:jc w:val="left"/>
              <w:rPr/>
            </w:pPr>
            <w:r>
              <w:rPr/>
              <w:t>Carsten Koerl</w:t>
            </w:r>
          </w:p>
        </w:tc>
      </w:tr>
    </w:tbl>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15"/>
        <w:gridCol w:w="1385"/>
      </w:tblGrid>
      <w:tr>
        <w:trPr/>
        <w:tc>
          <w:tcPr>
            <w:tcW w:w="215" w:type="dxa"/>
            <w:tcBorders/>
            <w:vAlign w:val="center"/>
          </w:tcPr>
          <w:p>
            <w:pPr>
              <w:pStyle w:val="TableContents"/>
              <w:bidi w:val="0"/>
              <w:spacing w:before="0" w:after="283"/>
              <w:jc w:val="left"/>
              <w:rPr/>
            </w:pPr>
            <w:r>
              <w:rPr/>
              <w:t>5.</w:t>
            </w:r>
          </w:p>
        </w:tc>
        <w:tc>
          <w:tcPr>
            <w:tcW w:w="1385" w:type="dxa"/>
            <w:tcBorders/>
            <w:vAlign w:val="center"/>
          </w:tcPr>
          <w:p>
            <w:pPr>
              <w:pStyle w:val="TableContents"/>
              <w:bidi w:val="0"/>
              <w:spacing w:before="0" w:after="283"/>
              <w:jc w:val="left"/>
              <w:rPr/>
            </w:pPr>
            <w:r>
              <w:rPr/>
              <w:t>William Kurtz</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15"/>
        <w:gridCol w:w="1895"/>
      </w:tblGrid>
      <w:tr>
        <w:trPr/>
        <w:tc>
          <w:tcPr>
            <w:tcW w:w="215" w:type="dxa"/>
            <w:tcBorders/>
            <w:vAlign w:val="center"/>
          </w:tcPr>
          <w:p>
            <w:pPr>
              <w:pStyle w:val="TableContents"/>
              <w:bidi w:val="0"/>
              <w:spacing w:before="0" w:after="283"/>
              <w:jc w:val="left"/>
              <w:rPr/>
            </w:pPr>
            <w:r>
              <w:rPr/>
              <w:t>6.</w:t>
            </w:r>
          </w:p>
        </w:tc>
        <w:tc>
          <w:tcPr>
            <w:tcW w:w="1895" w:type="dxa"/>
            <w:tcBorders/>
            <w:vAlign w:val="center"/>
          </w:tcPr>
          <w:p>
            <w:pPr>
              <w:pStyle w:val="TableContents"/>
              <w:bidi w:val="0"/>
              <w:spacing w:before="0" w:after="283"/>
              <w:jc w:val="left"/>
              <w:rPr/>
            </w:pPr>
            <w:r>
              <w:rPr/>
              <w:t>Rajani Ramanathan</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15"/>
        <w:gridCol w:w="1280"/>
      </w:tblGrid>
      <w:tr>
        <w:trPr/>
        <w:tc>
          <w:tcPr>
            <w:tcW w:w="215" w:type="dxa"/>
            <w:tcBorders/>
            <w:vAlign w:val="center"/>
          </w:tcPr>
          <w:p>
            <w:pPr>
              <w:pStyle w:val="TableContents"/>
              <w:bidi w:val="0"/>
              <w:spacing w:before="0" w:after="283"/>
              <w:jc w:val="left"/>
              <w:rPr/>
            </w:pPr>
            <w:r>
              <w:rPr/>
              <w:t>7.</w:t>
            </w:r>
          </w:p>
        </w:tc>
        <w:tc>
          <w:tcPr>
            <w:tcW w:w="1280" w:type="dxa"/>
            <w:tcBorders/>
            <w:vAlign w:val="center"/>
          </w:tcPr>
          <w:p>
            <w:pPr>
              <w:pStyle w:val="TableContents"/>
              <w:bidi w:val="0"/>
              <w:spacing w:before="0" w:after="283"/>
              <w:jc w:val="left"/>
              <w:rPr/>
            </w:pPr>
            <w:r>
              <w:rPr/>
              <w:t>Marc Walder</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83"/>
              <w:jc w:val="left"/>
              <w:rPr/>
            </w:pPr>
            <w:r>
              <w:rPr/>
              <w:t>8.</w:t>
            </w:r>
          </w:p>
        </w:tc>
        <w:tc>
          <w:tcPr>
            <w:tcW w:w="1790" w:type="dxa"/>
            <w:tcBorders/>
            <w:vAlign w:val="center"/>
          </w:tcPr>
          <w:p>
            <w:pPr>
              <w:pStyle w:val="TableContents"/>
              <w:bidi w:val="0"/>
              <w:spacing w:before="0" w:after="283"/>
              <w:jc w:val="left"/>
              <w:rPr/>
            </w:pPr>
            <w:r>
              <w:rPr/>
              <w:t>Jeffery W. Yabuki</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283"/>
              <w:jc w:val="left"/>
              <w:rPr/>
            </w:pPr>
            <w:r>
              <w:rPr/>
              <w:t>9.</w:t>
            </w:r>
          </w:p>
        </w:tc>
        <w:tc>
          <w:tcPr>
            <w:tcW w:w="1370" w:type="dxa"/>
            <w:tcBorders/>
            <w:vAlign w:val="center"/>
          </w:tcPr>
          <w:p>
            <w:pPr>
              <w:pStyle w:val="TableContents"/>
              <w:bidi w:val="0"/>
              <w:spacing w:before="0" w:after="283"/>
              <w:jc w:val="left"/>
              <w:rPr/>
            </w:pPr>
            <w:r>
              <w:rPr/>
              <w:t>Eduard Blonk</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283"/>
              <w:jc w:val="left"/>
              <w:rPr/>
            </w:pPr>
            <w:r>
              <w:rPr/>
              <w:t>10.</w:t>
            </w:r>
          </w:p>
        </w:tc>
        <w:tc>
          <w:tcPr>
            <w:tcW w:w="1580" w:type="dxa"/>
            <w:tcBorders/>
            <w:vAlign w:val="center"/>
          </w:tcPr>
          <w:p>
            <w:pPr>
              <w:pStyle w:val="TableContents"/>
              <w:bidi w:val="0"/>
              <w:spacing w:before="0" w:after="283"/>
              <w:jc w:val="left"/>
              <w:rPr/>
            </w:pPr>
            <w:r>
              <w:rPr/>
              <w:t>Craig Felenstein</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35"/>
        <w:gridCol w:w="1715"/>
      </w:tblGrid>
      <w:tr>
        <w:trPr/>
        <w:tc>
          <w:tcPr>
            <w:tcW w:w="335" w:type="dxa"/>
            <w:tcBorders/>
            <w:vAlign w:val="center"/>
          </w:tcPr>
          <w:p>
            <w:pPr>
              <w:pStyle w:val="TableContents"/>
              <w:bidi w:val="0"/>
              <w:spacing w:before="0" w:after="283"/>
              <w:jc w:val="left"/>
              <w:rPr/>
            </w:pPr>
            <w:r>
              <w:rPr/>
              <w:t>11.</w:t>
            </w:r>
          </w:p>
        </w:tc>
        <w:tc>
          <w:tcPr>
            <w:tcW w:w="1715" w:type="dxa"/>
            <w:tcBorders/>
            <w:vAlign w:val="center"/>
          </w:tcPr>
          <w:p>
            <w:pPr>
              <w:pStyle w:val="TableContents"/>
              <w:bidi w:val="0"/>
              <w:spacing w:before="0" w:after="283"/>
              <w:jc w:val="left"/>
              <w:rPr/>
            </w:pPr>
            <w:r>
              <w:rPr/>
              <w:t>Michael C. Miller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35"/>
        <w:gridCol w:w="3380"/>
      </w:tblGrid>
      <w:tr>
        <w:trPr/>
        <w:tc>
          <w:tcPr>
            <w:tcW w:w="335" w:type="dxa"/>
            <w:tcBorders/>
            <w:vAlign w:val="center"/>
          </w:tcPr>
          <w:p>
            <w:pPr>
              <w:pStyle w:val="TableContents"/>
              <w:bidi w:val="0"/>
              <w:spacing w:before="0" w:after="283"/>
              <w:jc w:val="left"/>
              <w:rPr/>
            </w:pPr>
            <w:r>
              <w:rPr/>
              <w:t>12.</w:t>
            </w:r>
          </w:p>
        </w:tc>
        <w:tc>
          <w:tcPr>
            <w:tcW w:w="3380" w:type="dxa"/>
            <w:tcBorders/>
            <w:vAlign w:val="center"/>
          </w:tcPr>
          <w:p>
            <w:pPr>
              <w:pStyle w:val="TableContents"/>
              <w:bidi w:val="0"/>
              <w:spacing w:before="0" w:after="283"/>
              <w:jc w:val="left"/>
              <w:rPr/>
            </w:pPr>
            <w:r>
              <w:rPr/>
              <w:t>CPP Investment Board Europe Inc.</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283"/>
              <w:jc w:val="left"/>
              <w:rPr/>
            </w:pPr>
            <w:r>
              <w:rPr/>
              <w:t>13.</w:t>
            </w:r>
          </w:p>
        </w:tc>
        <w:tc>
          <w:tcPr>
            <w:tcW w:w="2105" w:type="dxa"/>
            <w:tcBorders/>
            <w:vAlign w:val="center"/>
          </w:tcPr>
          <w:p>
            <w:pPr>
              <w:pStyle w:val="TableContents"/>
              <w:bidi w:val="0"/>
              <w:spacing w:before="0" w:after="283"/>
              <w:jc w:val="left"/>
              <w:rPr/>
            </w:pPr>
            <w:r>
              <w:rPr/>
              <w:t>TCV IX Sports Corp.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638"/>
        <w:gridCol w:w="9484"/>
      </w:tblGrid>
      <w:tr>
        <w:trPr/>
        <w:tc>
          <w:tcPr>
            <w:tcW w:w="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(1)</w:t>
            </w:r>
          </w:p>
        </w:tc>
        <w:tc>
          <w:tcPr>
            <w:tcW w:w="9484" w:type="dxa"/>
            <w:tcBorders/>
            <w:vAlign w:val="center"/>
          </w:tcPr>
          <w:p>
            <w:pPr>
              <w:pStyle w:val="TableContents"/>
              <w:bidi w:val="0"/>
              <w:spacing w:before="0" w:after="283"/>
              <w:jc w:val="left"/>
              <w:rPr/>
            </w:pPr>
            <w:r>
              <w:rPr/>
              <w:t>Preliminary Prospectus issued April 22,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1"/>
        <w:gridCol w:w="9786"/>
      </w:tblGrid>
      <w:tr>
        <w:trPr/>
        <w:tc>
          <w:tcPr>
            <w:tcW w:w="4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(2)</w:t>
            </w:r>
          </w:p>
        </w:tc>
        <w:tc>
          <w:tcPr>
            <w:tcW w:w="9786" w:type="dxa"/>
            <w:tcBorders/>
            <w:vAlign w:val="center"/>
          </w:tcPr>
          <w:p>
            <w:pPr>
              <w:pStyle w:val="TableContents"/>
              <w:bidi w:val="0"/>
              <w:spacing w:before="0" w:after="283"/>
              <w:jc w:val="left"/>
              <w:rPr/>
            </w:pPr>
            <w:r>
              <w:rPr/>
              <w:t>Issuer Free Writing Prospectuses not included in the Pricing Disclosure Package: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Press Release dated April 22, 2025, related to the launch of the offering of the Shares, filed with the Commission pursuant to Rule 433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Press Release dated April 22, 2025, related to Company’s preliminary financial results for the first quarter 2025, filed with the Commission pursuant to Rule 433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43"/>
        <w:gridCol w:w="9591"/>
      </w:tblGrid>
      <w:tr>
        <w:trPr/>
        <w:tc>
          <w:tcPr>
            <w:tcW w:w="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(3)</w:t>
            </w:r>
          </w:p>
        </w:tc>
        <w:tc>
          <w:tcPr>
            <w:tcW w:w="9591" w:type="dxa"/>
            <w:tcBorders/>
            <w:vAlign w:val="center"/>
          </w:tcPr>
          <w:p>
            <w:pPr>
              <w:pStyle w:val="TableContents"/>
              <w:bidi w:val="0"/>
              <w:spacing w:before="0" w:after="283"/>
              <w:jc w:val="left"/>
              <w:rPr/>
            </w:pPr>
            <w:r>
              <w:rPr/>
              <w:t>Pricing Information Provided Orally by Underwriters: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 Share: $22.50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Underwritten Shares: 23,000,000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Number of Option Shares: 3,450,000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Repurchase Shares: 3,000,000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Testing-the-Waters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9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w:t>
        <w:br/>
        <w:t>several Underwriters listed</w:t>
        <w:br/>
        <w:t>in Schedule 1 to the Underwriting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br/>
        <w:t>383 Madison Avenue</w:t>
        <w:br/>
        <w:t>New York, New York 10179</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350"/>
        <w:gridCol w:w="393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Re:</w:t>
            </w:r>
          </w:p>
        </w:tc>
        <w:tc>
          <w:tcPr>
            <w:tcW w:w="3935" w:type="dxa"/>
            <w:tcBorders/>
            <w:vAlign w:val="center"/>
          </w:tcPr>
          <w:p>
            <w:pPr>
              <w:pStyle w:val="TableContents"/>
              <w:bidi w:val="0"/>
              <w:spacing w:before="0" w:after="283"/>
              <w:jc w:val="both"/>
              <w:rPr/>
            </w:pPr>
            <w:r>
              <w:rPr/>
              <w:t>Sportradar Group AG --- Public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you, as Representatives of the several Underwriters, propose to enter into an underwriting agreement (the “Underwriting Agreement”) with Sportradar Group AG, a Swiss corporation (the “Company”) and the Selling Shareholders listed on Schedule 2 to the Underwriting Agreement, providing for the public offering (the “Public Offering”) by the several Underwriters named in Schedule 1 to the Underwriting Agreement (the “Underwriters”), of Class A ordinary shares, of the Company (the “Securities”). Capitalized terms used herein and not otherwise defined shall have the meanings set forth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Representatives on behalf of the Underwriters, the undersigned will not, and will not cause any direct or indirect controlled affiliate to, during the period beginning on the date of this letter agreement (this “Letter Agreement”) and ending at the close of business [60]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[180]</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[45]</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Class A ordinary shares, CHF 0.10 per share par value, of the Company (the “Class A Ordinary Shares”) or any securities convertible into or exercisable or exchangeable for Class A Ordinary Shares (including without limitation, Class A Ordinary Shares or such other securities which may be deemed to be beneficially owned by the undersigned in accordance with the rules and regulations of the Securities and Exchange Commission and securities which may be issued upon exercise of a stock option or warrant) (collectively with the Class A Ordinary Shares,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(provided that, for the avoidance of doubt, to the extent the undersigned has demand and/or piggyback registration rights, the foregoing shall not prohibit the undersigned from notifying the Company privately that it is or will be exercising its demand and/or piggyback registration rights following the expiration of the Restricted Period or in connection with an Early Lock-Up Expiration Date and undertaking preparations related thereto, up to, but not including, the confidential submission of a registration statement with the SEC),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undersigned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the undersigned’s Lock-Up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bona fide gift or gifts, including to a charitable organization or educational institution, or for bona fide estate planning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will, any other testamentary document or intestate succession to the legal representative, heir, beneficiary or member of the immediate family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CPPIB and TCV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Carsten Koerl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For D&amp;Os (other than Carsten Koerl)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any immediate family (for purposes of this Letter Agreement, “immediate family” shall mean any relationship by blood, current or former marriage, domestic partnership or adoption, not more remote than first cousin) of the undersigned or to any trust for the direct or indirect benefit of the undersigned or the immediate family of the undersigned, or if the undersigned is a trust, to a trustor or beneficiary of the trust or to the estate of a beneficiary of such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 partnership, limited liability company or other entity of which the undersigned and any immediate family of the undersigned are the legal and beneficial owner of all of the outstanding equity securities or similar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undersigned is a corporation, partnership, limited liability company, trust or other business entity, (A) to another corporation, partnership, limited liability company, trust or other business entity that is a subsidiary or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to direct or indirect shareholders, current or former partners (general or limited), beneficiaries, or other equity holders or to the estates of any such stockholders, partners, beneficiaries or other equityholders of the undersigned and their respective affiliates, or (B) as part of a distribution to the direct or indirect partners, members, limited partners or shareholders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by operation of law, such as pursuant to a qualified domestic order, divorce settlement, divorce decree or separation agreement or pursuant to any court order or the order of any other governmental authority or agency having jurisdiction over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Company from an employee of the Company upon death, disability or termination of employment (with or without cause) or resignation, in each case, of such employee or to the Company from an employee pursuant to any contractual arrangement existing on the date hereof that provides the Company with a right to purchase Lock-Up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part of a sale of the undersigned’s Lock-Up Securities acquired in open market transactions after the completion of the Public Offering or from the Underwriters in connection with the Public Offering other than pursuant to any directed share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a nominee or custodian of a person or entity to whom a disposition or transfer would be permissible under clauses (i) through (viii)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the Company, in connection with any reclassification, exchange or conversion of the Securities, provided, that any such Securities received upon such reclassification, exchange or conversion shall be subject to the terms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the Company in connection with the vesting, settlement, or exercise of restricted stock units, options, warrants or other rights to purchase Class A Ordinary Shares (including, in each case, by way of “net” or “cashless” exercise), including for the payment of exercise price and tax and remittance payments due as a result of the vesting, settlement, or exercise of such restricted stock units, options, warrants or rights, provided that any such Class A Ordinary Shares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 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pursuant to a bona fide third-party tender offer, take-over bid, merger, amalgamation, plan of arrangement, consolidation or other similar transaction that is approved by the board of directors of the Company (or a duly authorized committee thereof) and made to all holders of the Company’s capital stock involving a Change of Control (as defined below) of the Company (for purposes hereof, “Change of Control” shall mean the transfer (whether by tender offer, take-over bid, merger, amalgamation, plan of arrangement,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take-over bid, merger, amalgamation, plan of arrangement, consolidation or other similar transaction is not completed, the undersigned’s Lock-Up Securities shall remain subject to the provisions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in the case of any transfer or distribution pursuant to clause (a)(i), (ii), (iii), (iv), (v), (vi), (ix) (only in connection with clauses (i)-(vi)) and (x), such transfer shall not involve a disposition for value, and each donee, devisee, transferee or distributee shall execute and deliver to the Representatives a lock-up letter in the form of this Letter Agreement; and (B) in the case of any transfer or distribution pursuant to clause (a)(i), (ii), (iii), (iv), (v), (vi), (viii), and (ix) (only in connection with clauses (i)-(vi) and (viii)),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or, in the case of clause (a)(i) only, a filing on a Form 4 which shall clearly indicate in the footnote thereto the nature and conditions of such transfer or, in the case of clause (v), (ix), or (x), a required filing of an amendment to a Schedule 13G, in accordance with applicable law, that discloses that such transfer or distribution was made under the circumstances described in such clauses, as applicable) and (C) in the case of any transfer or distribution pursuant to clause (a)(vi) and (vii) it shall be a condition to such transfer that no public filing, report or announcement shall be voluntarily made and if any filing under Section 16(a) of the Exchange Act, or other public filing, report or announcement reporting a reduction in beneficial ownership of Class A Ordinary Shares in connection with such transfer or distribution shall be legally required during the Restricted Period, such filing, report or announcement shall clearly indicate in the footnotes thereto the nature and conditions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exercise outstanding options, settle restricted stock units or other equity awards or exercise warrants pursuant to plans or agreements described in the Registration Statement, the Pricing Disclosure Package and the Prospectus; provided that any Lock-Up Securities received upon such exercise, vesting or settlement shall be subject to the terms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 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convert outstanding preferred stock, warrants to acquire preferred stock or convertible securities into Class A Ordinary Shares or warrants to acquire Class A Ordinary Shares; provided that any such Class A Ordinary Shares or warrants received upon such conversion shall be subject to the terms of this Letter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establish trading plans pursuant to Rule 10b5-1 under the Exchange Act for the transfer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of any release or waiver of the foregoing restrictions in respect of any class of ordinary shares of the Company held by CPP Investment Board Europe Inc., TCV IX Sports Corp or Carsten Koerl, or any of their respective affiliates, the Representatives agree that the Lock-up Securities held by the undersigned shall be immediately, fully and irrevocably similarly released in the same manner and on the same terms from any remaining restrictions on a pro rata basis. The Representatives shall use commercially reasonable efforts to promptly notify the Company of each such release (provided that the failure to provide such notice shall not give rise to any claim or liability against the Representatives or the Underwriters). The undersigned further acknowledges that the Representatives are under no obligation to inquire into whether, or to ensure that, the Company notifies the undersigned of the delivery by the Representatives of any such notice, which is a matter between the undersigned and the Company.]</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Letter Agreement, the restrictions set forth in this Letter Agreement shall not apply to the exercise of any right with respect to a registration of any Lock-Up Securities; provided that no transfer of the undersigned’s Lock-Up Securities proposed to be registered pursuant to the exercise of such rights under this paragraph shall occur, and no registration statement shall be publicly filed or announced, during the Restricted Period, other than the exercise of rights for inclusion of the undersigned’s Lock-Up Securities in the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Representatives or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To be included in the Selling Shareholders’ 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 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Underwriting Agreement does not become effective by the earlier of (i) May 12, 2025 and (ii) the date that the Company issues a press release reporting financial results for the three months period ended March 31, 2025, the Company may notify the Representatives in writing that the Company does not intend to proceed with the Public Offering, or if the Underwriting Agreement (other than the provisions thereof which survive termination) shall terminate or be terminated prior to payment for and delivery of the Class A Ordinary Shares to be sold thereunder, then this Letter Agreement shall immediately terminate and the undersigned shall be released from all obligations under this Letter Agreement. The undersigned understands that the Underwriters are entering into the Underwriting Agreement and proceeding with the Public Offering in reliance upon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 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any claim, controversy or dispute arising under or related to 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2539" w:type="dxa"/>
        <w:jc w:val="left"/>
        <w:tblInd w:w="0" w:type="dxa"/>
        <w:tblLayout w:type="fixed"/>
        <w:tblCellMar>
          <w:top w:w="0" w:type="dxa"/>
          <w:left w:w="0" w:type="dxa"/>
          <w:bottom w:w="0" w:type="dxa"/>
          <w:right w:w="0" w:type="dxa"/>
        </w:tblCellMar>
      </w:tblPr>
      <w:tblGrid>
        <w:gridCol w:w="75"/>
        <w:gridCol w:w="547"/>
        <w:gridCol w:w="19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SHAREHOLDER]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1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1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 A-7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4" w:name="tm2512746d5_ex5-1.htm"/>
      <w:bookmarkStart w:id="5" w:name="kstm2512746d5_ex51"/>
      <w:bookmarkEnd w:id="4"/>
      <w:bookmarkEnd w:id="5"/>
      <w:r>
        <w:rPr>
          <w:caps w:val="false"/>
          <w:smallCaps w:val="false"/>
        </w:rPr>
        <w:t> </w:t>
      </w:r>
      <w:r>
        <w:br w:type="page"/>
      </w:r>
    </w:p>
    <w:p>
      <w:pPr>
        <w:pStyle w:val="TextBody"/>
        <w:bidi w:val="0"/>
        <w:spacing w:before="0" w:after="0"/>
        <w:ind w:left="0" w:right="0" w:firstLine="57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Group AG</w:t>
        <w:br/>
        <w:t>Feldlistrasse 2</w:t>
        <w:br/>
        <w:t>9000 St.Gallen</w:t>
        <w:br/>
        <w:t>Switzerland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Group AG – Registration Statement on Form F-3 –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We, Niederer Kraft Frey AG, have acted as Swiss counsel to </w:t>
      </w:r>
      <w:r>
        <w:rPr>
          <w:rFonts w:ascii="Times New Roman;Times;Serif" w:hAnsi="Times New Roman;Times;Serif"/>
          <w:b w:val="false"/>
          <w:i w:val="false"/>
          <w:caps w:val="false"/>
          <w:smallCaps w:val="false"/>
          <w:sz w:val="20"/>
        </w:rPr>
        <w:t>Sportradar Group AG, St. Gallen, Switzerland, a Swiss stock corporation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the offer and sale by certain shareholders of the Company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of up to 23,000,000 Class A ordinary shares, nominal value CHF 0.10,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respectively). The Shares are included in a Registration Statement on Form F−3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filed by the Company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April 22, 2025 (File No. 333-286679 ) (as so filed and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 base prospectus, dated April 22, 2025 included in the Registration Statement at the time it originally became effective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 preliminary prospectus supplement dated April 22, 2025, filed with the Commission pursuant to Rule 424(b) under the Act, and a final prospectus supplement, dated April 24, 2025, filed with the Commission pursuant to Rule 424(b) under the Act (together with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and are being offered pursuant to an underwriting agreement, dated April 23, 2025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among the Company, the Selling Shareholders and the underwriters named therein. In our capacity as Swiss counsel to the Company, we have been requested to render an opinion as to certain legal matters of Swiss law regarding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confined to and given only on the basis of the laws of Switzerland in force at the date hereof. In the absence of explicit statutory law, we base our opinion solely on our independent professional judgment. This opinion is also confined to the matters stated herein and the Documents (as defined below) and no opinion is expressed herein as to any matter pertaining to the contents of the Registration Statement (including any document incorporated by reference in the Registration Statement or exhibit thereto) or the Prospectus other than as expressly stated herein with respect to the Shares. For purposes of giving this opinion, we have exclusively examined and relied on originals or copies of the following documents available to us (collectively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and – beyond that – have not conducted any due diligence or similar investigation or verification as to any matters stated herein or as to factual circumstances: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467"/>
        <w:gridCol w:w="9597"/>
      </w:tblGrid>
      <w:tr>
        <w:trPr/>
        <w:tc>
          <w:tcPr>
            <w:tcW w:w="1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w:t>
            </w:r>
          </w:p>
        </w:tc>
        <w:tc>
          <w:tcPr>
            <w:tcW w:w="9597" w:type="dxa"/>
            <w:tcBorders/>
            <w:vAlign w:val="center"/>
          </w:tcPr>
          <w:p>
            <w:pPr>
              <w:pStyle w:val="TableContents"/>
              <w:bidi w:val="0"/>
              <w:spacing w:before="0" w:after="283"/>
              <w:jc w:val="both"/>
              <w:rPr/>
            </w:pPr>
            <w:r>
              <w:rPr/>
              <w:t>the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66725"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6725" cy="1905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121"/>
        <w:gridCol w:w="8854"/>
      </w:tblGrid>
      <w:tr>
        <w:trPr/>
        <w:tc>
          <w:tcPr>
            <w:tcW w:w="23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ii.</w:t>
            </w:r>
          </w:p>
        </w:tc>
        <w:tc>
          <w:tcPr>
            <w:tcW w:w="8854" w:type="dxa"/>
            <w:tcBorders/>
            <w:vAlign w:val="center"/>
          </w:tcPr>
          <w:p>
            <w:pPr>
              <w:pStyle w:val="TableContents"/>
              <w:bidi w:val="0"/>
              <w:spacing w:before="0" w:after="283"/>
              <w:jc w:val="both"/>
              <w:rPr/>
            </w:pPr>
            <w:r>
              <w:rPr/>
              <w:t>the Prospectus;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805"/>
        <w:gridCol w:w="9276"/>
      </w:tblGrid>
      <w:tr>
        <w:trPr/>
        <w:tc>
          <w:tcPr>
            <w:tcW w:w="12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276" w:type="dxa"/>
            <w:tcBorders/>
            <w:vAlign w:val="center"/>
          </w:tcPr>
          <w:p>
            <w:pPr>
              <w:pStyle w:val="TableContents"/>
              <w:bidi w:val="0"/>
              <w:spacing w:before="0" w:after="283"/>
              <w:jc w:val="both"/>
              <w:rPr/>
            </w:pPr>
            <w:r>
              <w:rPr/>
              <w:t>the Underwriting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8" w:type="dxa"/>
            <w:tcBorders/>
            <w:vAlign w:val="center"/>
          </w:tcPr>
          <w:p>
            <w:pPr>
              <w:pStyle w:val="TableContents"/>
              <w:bidi w:val="0"/>
              <w:spacing w:before="0" w:after="283"/>
              <w:jc w:val="both"/>
              <w:rPr/>
            </w:pPr>
            <w:r>
              <w:rPr/>
              <w:t>a notarized copy of the articles of association of the Company, dated April 15, 2025 (the “</w:t>
            </w:r>
            <w:r>
              <w:rPr>
                <w:b/>
              </w:rPr>
              <w:t>Articles</w:t>
            </w:r>
            <w:r>
              <w:rPr/>
              <w:t>”), notarized as per April 15,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8" w:type="dxa"/>
            <w:tcBorders/>
            <w:vAlign w:val="center"/>
          </w:tcPr>
          <w:p>
            <w:pPr>
              <w:pStyle w:val="TableContents"/>
              <w:bidi w:val="0"/>
              <w:spacing w:before="0" w:after="283"/>
              <w:jc w:val="both"/>
              <w:rPr/>
            </w:pPr>
            <w:r>
              <w:rPr/>
              <w:t>a certified excerpt from the Commercial Register of the Canton of St. Gallen (the “</w:t>
            </w:r>
            <w:r>
              <w:rPr>
                <w:b/>
              </w:rPr>
              <w:t>Commercial Register</w:t>
            </w:r>
            <w:r>
              <w:rPr/>
              <w:t>”) for the Company prior to its publication, dated April 16, 2025;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38" w:type="dxa"/>
            <w:tcBorders/>
            <w:vAlign w:val="center"/>
          </w:tcPr>
          <w:p>
            <w:pPr>
              <w:pStyle w:val="TableContents"/>
              <w:bidi w:val="0"/>
              <w:spacing w:before="0" w:after="283"/>
              <w:jc w:val="both"/>
              <w:rPr/>
            </w:pPr>
            <w:r>
              <w:rPr/>
              <w:t>minutes of a meeting of the board of directors or a committee thereof the Company at which the Offering and the actions to be taken in connection therewith were approved.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following opinion: The Shares, are validly issued, fully paid as to their nominal value and non-assessable (i.e., no further contributions in respect thereof will be required to be made to the Company by the holders thereof, for the sole reason of them being a holder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rendered this opinion as of the date hereof and we assume no obligation to advise you on changes relevant to this opinion that may thereafter be brought to our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legal opinion is addressed to the Company. We hereby consent to the filing of this opinion as Exhibit 5.1 to a Report on Form 6-K and to the reference to us under the heading “Legal Matters” in the Prospectus. In giving such consent, we do not thereby admit that we are in the category of persons whose consent is required pursuant to Section 7 of the Act. This legal opinion is strictly limited to the matters stated in it and does not apply by implication to 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governed by and construed in accordance with the laws of Switzerland. It may only be relied upon on the express condition that any issues of interpretation arising hereunder will be governed by the laws of Switzerland. We confirm our understanding that all disputes out of or in connection with this opinion shall be subject to the exclusive jurisdiction of the courts of the Canton of Zurich, Switzerland, venue being Zurich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Niederer Kraft Frey 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 w:name="tm2512746d5_ex99-1.htm"/>
      <w:bookmarkStart w:id="7" w:name="kstm2512746d5_ex991"/>
      <w:bookmarkEnd w:id="6"/>
      <w:bookmarkEnd w:id="7"/>
      <w:r>
        <w:rPr/>
        <w:t> </w:t>
      </w:r>
      <w:r>
        <w:br w:type="page"/>
      </w:r>
    </w:p>
    <w:tbl>
      <w:tblPr>
        <w:tblW w:w="3231" w:type="dxa"/>
        <w:jc w:val="left"/>
        <w:tblInd w:w="0" w:type="dxa"/>
        <w:tblLayout w:type="fixed"/>
        <w:tblCellMar>
          <w:top w:w="0" w:type="dxa"/>
          <w:left w:w="0" w:type="dxa"/>
          <w:bottom w:w="0" w:type="dxa"/>
          <w:right w:w="0" w:type="dxa"/>
        </w:tblCellMar>
      </w:tblPr>
      <w:tblGrid>
        <w:gridCol w:w="1966"/>
        <w:gridCol w:w="1265"/>
      </w:tblGrid>
      <w:tr>
        <w:trPr/>
        <w:tc>
          <w:tcPr>
            <w:tcW w:w="1966" w:type="dxa"/>
            <w:tcBorders/>
            <w:vAlign w:val="center"/>
          </w:tcPr>
          <w:p>
            <w:pPr>
              <w:pStyle w:val="TableContents"/>
              <w:bidi w:val="0"/>
              <w:spacing w:before="0" w:after="283"/>
              <w:jc w:val="both"/>
              <w:rPr/>
            </w:pPr>
            <w:r>
              <w:rPr/>
              <w:drawing>
                <wp:inline distT="0" distB="0" distL="0" distR="0">
                  <wp:extent cx="1238885" cy="164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8885" cy="164465"/>
                          </a:xfrm>
                          <a:prstGeom prst="rect">
                            <a:avLst/>
                          </a:prstGeom>
                        </pic:spPr>
                      </pic:pic>
                    </a:graphicData>
                  </a:graphic>
                </wp:inline>
              </w:drawing>
            </w:r>
          </w:p>
        </w:tc>
        <w:tc>
          <w:tcPr>
            <w:tcW w:w="1265" w:type="dxa"/>
            <w:tcBorders/>
            <w:vAlign w:val="center"/>
          </w:tcPr>
          <w:p>
            <w:pPr>
              <w:pStyle w:val="TableContents"/>
              <w:bidi w:val="0"/>
              <w:spacing w:before="0" w:after="283"/>
              <w:jc w:val="right"/>
              <w:rPr>
                <w:b/>
              </w:rPr>
            </w:pPr>
            <w:r>
              <w:rPr>
                <w:b/>
              </w:rPr>
              <w:t>Exhibit 99.1</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ANNOUNCES LAUNCH OF PUBLIC OFFERING OF CLASS A ORDINARY SHARES BY SELLING SHAREHOLDERS AND CONCURRENT SHARE REPURCHASE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 GALLEN, Switzerland, April 22, 2025 </w:t>
      </w:r>
      <w:r>
        <w:rPr>
          <w:rFonts w:ascii="Times New Roman;Times;Serif" w:hAnsi="Times New Roman;Times;Serif"/>
          <w:b w:val="false"/>
          <w:i w:val="false"/>
          <w:caps w:val="false"/>
          <w:smallCaps w:val="false"/>
          <w:sz w:val="20"/>
        </w:rPr>
        <w:t>– Sportradar Group AG (Nasdaq: SRAD) (“Sportradar” or the “Company”) today announced a proposed secondary public offering of an aggregate of 23,000,000 Class A ordinary shares of the Company (the “Secondary Offering”) by an affiliate of Canada Pension Plan Investment Board, an affiliate of Technology Crossover Ventures, and Carsten Koerl, the Company’s Chief Executive Officer (collectively, the “Selling Shareholders”). The underwriters will have a 30-day option to purchase up to an additional 3,450,000 Class A ordinary shares from the Selling Shareholders. The Company is not selling any shares and will not receive any proceeds from the proposed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Sportradar has authorized the concurrent purchase from the underwriters of 3,000,000 Class A ordinary shares at a price per share equal to the price at which the underwriters purchase the shares from the Selling Shareholders in the Secondary Offering, up to a maximum of $75 million (the “Share Repurchase”), subject to the completion of the Secondary Offering. The Share Repurchase is part of the Company’s existing $200 million share repurchase program and the Company intends to fund the Share Repurchase with cash on hand. The underwriters will not receive any underwriting fees for the shares being repurchased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and J.P. Morgan are acting as joint book-running managers for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a shelf registration statement (including a prospectus) on Form F-3 with the U.S. Securities and Exchange Commission (the “SEC”) for the Secondary Offering to which this communication relates. The registration statement automatically became effective upon filing on April 22, 2025. A preliminary prospectus supplement relating to the Secondary Offering has also been filed with the SEC. Investors should read the accompanying prospectus, dated April 22, 2025, the preliminary prospectus supplement relating to the Secondary Offering, dated April 22, 2025, and documents the Company has filed with the SEC for more complete information about the Company and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may be obtained for free by visiting EDGAR on the SEC website at www.sec.gov. The prospectus supplement and accompanying prospectus relating to the Secondary Offering may also be obtained from: Goldman Sachs &amp; Co. LLC, Attn: Prospectus Department, 200 West Street, New York, New York 10282, telephone: 1-866-471-2526, facsimile: 212-902-9316, or by emailing prospectus-ny@ny.email.gs.com; or J.P. Morgan Securities LLC, c/o Broadridge Financial Solutions, 1155 Long Island Avenue, Edgewood, NY 11717, by telephone at 1-866-803-9204, or by email at prospectus-eq_fi@jpmchase.com.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 Company’s Class A ordinary shares or any other securities, nor shall there be any offer, solicitation or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Bombassei</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j.bombassei@sportradar.com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Sandra Lee</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sandra.lee@sportradar.com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238885" cy="1644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885" cy="16446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for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including, without limitation, statements regarding the proposed Secondary Offering and the Share Repurchase. In some cases, these forward-looking statements can be identified by words or phrases such as “may,” “might,” “will,” “could,” “would,” “should,” “expect,” “plan,” “anticipate,” “intend,” “seek,” “believe,” “estimate,” “predict,” “potential,” “projects”, “continue,” “contemplate,” “confident,”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economy downturns and political and market conditions beyond our control, including the impact of the Russia/Ukraine and other military conflicts such as acts or war or terrorism and foreign exchange rate fluctuations; pandemics could have an adverse effect on our business; dependence on our strategic relationships with our sports league partners; effect of social responsibility concerns and public opinion on responsible gaming requirements on our reputation; potential adverse changes in public and consumer tastes and preferences and industry trends; potential changes in competitive landscape, including new market entrants or disintermediation; potential inability to anticipate and adopt new technology, including efficiencies achieved through the use of artificial intelligence; potential errors, failures or bugs in our products; inability to protect our systems and data from continually evolving cybersecurity risks, security breaches or other technological risks; potential interruptions and failures in our systems or infrastructure; difficulties in our ability to evaluate, complete and integrate acquisitions (including the proposed acquisition of the global sports betting portfolio business of IMG Arena US Parent, LLC) successfully; our ability to comply with governmental laws, rules, regulations, and other legal obligations, related to data privacy, protection and security; ability to comply with the variety of unsettled and developing U.S. and foreign laws on sports betting; dependence on jurisdictions with uncertain regulatory frameworks for our revenue; changes in the legal and regulatory status of real money gambling and betting legislation on us and our customers;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any material weaknesses identified in our internal control over financial reporting; inability to secure additional financing in a timely manner, or at all, to meet our long-term future capital needs; risks related to future acquisitions; and other risk factors set forth in the section titled “Risk Factors” in our Annual Report on Form 20-F for the fiscal year ended December 31, 2024, and other documents filed with or furnished to the SEC, accessible on the SEC’s website at www.sec.gov and on our website at https://investors.sportradar.com. These statements reflect management’s current expectations regarding future events and operating performance and speak only as of the date of this press release. One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About Sportradar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Group AG (Nasdaq: SRAD), founded in 2001, is a leading global sports technology company creating immersive experiences for sports fans and bettors. Positioned at the intersection of the sports, media and betting industries, the Company provides sports federations, news media, consumer platforms and sports betting operators with a best-in-class range of solutions to help grow their business. As the trusted partner of organizations like the ATP, NBA, NHL, MLB, NASCAR, UEFA, FIFA, and Bundesliga, Sportradar covers close to a million events annually across all major sports. With deep industry relationships and expertise, Sportradar is not just redefining the sports fan experience, it also safeguards sports through its Integrity Services division and advocacy for an integrity-driven environment for all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Sportradar, please visit </w:t>
      </w:r>
      <w:r>
        <w:rPr>
          <w:rFonts w:ascii="Times New Roman;Times;Serif" w:hAnsi="Times New Roman;Times;Serif"/>
          <w:b w:val="false"/>
          <w:i w:val="false"/>
          <w:caps w:val="false"/>
          <w:smallCaps w:val="false"/>
          <w:sz w:val="20"/>
          <w:u w:val="single"/>
        </w:rPr>
        <w:t>www.sportradar.com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512746d5_ex99-2.htm"/>
      <w:bookmarkStart w:id="9" w:name="kstm2512746d5_ex992"/>
      <w:bookmarkEnd w:id="8"/>
      <w:bookmarkEnd w:id="9"/>
      <w:r>
        <w:rPr/>
        <w:t> </w:t>
      </w:r>
      <w:r>
        <w:br w:type="page"/>
      </w:r>
    </w:p>
    <w:tbl>
      <w:tblPr>
        <w:tblW w:w="3231" w:type="dxa"/>
        <w:jc w:val="left"/>
        <w:tblInd w:w="0" w:type="dxa"/>
        <w:tblLayout w:type="fixed"/>
        <w:tblCellMar>
          <w:top w:w="0" w:type="dxa"/>
          <w:left w:w="0" w:type="dxa"/>
          <w:bottom w:w="0" w:type="dxa"/>
          <w:right w:w="0" w:type="dxa"/>
        </w:tblCellMar>
      </w:tblPr>
      <w:tblGrid>
        <w:gridCol w:w="1966"/>
        <w:gridCol w:w="1265"/>
      </w:tblGrid>
      <w:tr>
        <w:trPr/>
        <w:tc>
          <w:tcPr>
            <w:tcW w:w="1966" w:type="dxa"/>
            <w:tcBorders/>
            <w:vAlign w:val="center"/>
          </w:tcPr>
          <w:p>
            <w:pPr>
              <w:pStyle w:val="TableContents"/>
              <w:bidi w:val="0"/>
              <w:spacing w:before="0" w:after="283"/>
              <w:jc w:val="both"/>
              <w:rPr/>
            </w:pPr>
            <w:r>
              <w:rPr/>
              <w:drawing>
                <wp:inline distT="0" distB="0" distL="0" distR="0">
                  <wp:extent cx="1238885" cy="1511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885" cy="151130"/>
                          </a:xfrm>
                          <a:prstGeom prst="rect">
                            <a:avLst/>
                          </a:prstGeom>
                        </pic:spPr>
                      </pic:pic>
                    </a:graphicData>
                  </a:graphic>
                </wp:inline>
              </w:drawing>
            </w:r>
          </w:p>
        </w:tc>
        <w:tc>
          <w:tcPr>
            <w:tcW w:w="1265" w:type="dxa"/>
            <w:tcBorders/>
            <w:vAlign w:val="center"/>
          </w:tcPr>
          <w:p>
            <w:pPr>
              <w:pStyle w:val="TableContents"/>
              <w:bidi w:val="0"/>
              <w:spacing w:before="0" w:after="283"/>
              <w:jc w:val="right"/>
              <w:rPr>
                <w:b/>
              </w:rPr>
            </w:pPr>
            <w:r>
              <w:rPr>
                <w:b/>
              </w:rPr>
              <w:t>Exhibit 99.2</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ANNOUNCES PRELIMINARY FIRST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OF FULL FIRST QUARTER RESULTS AND EARNINGS CALL TO TAKE PLACE ON MAY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 GALLEN, Switzerland, April 22, 2025</w:t>
      </w:r>
      <w:r>
        <w:rPr>
          <w:rFonts w:ascii="Times New Roman;Times;Serif" w:hAnsi="Times New Roman;Times;Serif"/>
          <w:b w:val="false"/>
          <w:i w:val="false"/>
          <w:caps w:val="false"/>
          <w:smallCaps w:val="false"/>
          <w:sz w:val="20"/>
        </w:rPr>
        <w:t xml:space="preserve"> – Sportradar Group AG (NASDAQ: SRAD) (“Sportradar” or the “Company”), a leading global sports technology company focused on creating immersive experiences for sports fans and bettors today announced, in conjunction with its filing of a preliminary prospectus supplement, preliminary unaudited financial results for the first quarter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First Quarter 2025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preliminary unaudited first quarter 2025 results are based on preliminary internal data available as of the date of this announcement: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34"/>
        <w:gridCol w:w="9901"/>
      </w:tblGrid>
      <w:tr>
        <w:trPr/>
        <w:tc>
          <w:tcPr>
            <w:tcW w:w="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Symbol" w:hAnsi="Symbol"/>
                <w:shd w:fill="FEFEFE" w:val="clear"/>
              </w:rPr>
            </w:pPr>
            <w:r>
              <w:rPr>
                <w:rFonts w:ascii="Symbol" w:hAnsi="Symbol"/>
                <w:shd w:fill="FEFEFE" w:val="clear"/>
              </w:rPr>
              <w:t>·</w:t>
            </w:r>
          </w:p>
        </w:tc>
        <w:tc>
          <w:tcPr>
            <w:tcW w:w="9901" w:type="dxa"/>
            <w:tcBorders/>
            <w:vAlign w:val="center"/>
          </w:tcPr>
          <w:p>
            <w:pPr>
              <w:pStyle w:val="TableContents"/>
              <w:bidi w:val="0"/>
              <w:spacing w:before="0" w:after="283"/>
              <w:jc w:val="both"/>
              <w:rPr/>
            </w:pPr>
            <w:r>
              <w:rPr/>
              <w:t>Revenue of approximately €307 million to €311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5"/>
        <w:gridCol w:w="9939"/>
      </w:tblGrid>
      <w:tr>
        <w:trPr/>
        <w:tc>
          <w:tcPr>
            <w:tcW w:w="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Symbol" w:hAnsi="Symbol"/>
                <w:shd w:fill="FEFEFE" w:val="clear"/>
              </w:rPr>
            </w:pPr>
            <w:r>
              <w:rPr>
                <w:rFonts w:ascii="Symbol" w:hAnsi="Symbol"/>
                <w:shd w:fill="FEFEFE" w:val="clear"/>
              </w:rPr>
              <w:t>·</w:t>
            </w:r>
          </w:p>
        </w:tc>
        <w:tc>
          <w:tcPr>
            <w:tcW w:w="9939" w:type="dxa"/>
            <w:tcBorders/>
            <w:vAlign w:val="center"/>
          </w:tcPr>
          <w:p>
            <w:pPr>
              <w:pStyle w:val="TableContents"/>
              <w:bidi w:val="0"/>
              <w:spacing w:before="0" w:after="283"/>
              <w:jc w:val="both"/>
              <w:rPr/>
            </w:pPr>
            <w:r>
              <w:rPr/>
              <w:t>Profit for the period of approximately €20 million to €24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shd w:fill="FEFEFE" w:val="clear"/>
              </w:rPr>
            </w:pPr>
            <w:r>
              <w:rPr>
                <w:rFonts w:ascii="Symbol" w:hAnsi="Symbol"/>
                <w:shd w:fill="FEFEFE" w:val="clear"/>
              </w:rPr>
              <w:t>·</w:t>
            </w:r>
          </w:p>
        </w:tc>
        <w:tc>
          <w:tcPr>
            <w:tcW w:w="9942" w:type="dxa"/>
            <w:tcBorders/>
            <w:vAlign w:val="center"/>
          </w:tcPr>
          <w:p>
            <w:pPr>
              <w:pStyle w:val="TableContents"/>
              <w:bidi w:val="0"/>
              <w:spacing w:before="0" w:after="283"/>
              <w:jc w:val="both"/>
              <w:rPr/>
            </w:pPr>
            <w:r>
              <w:rPr/>
              <w:t>Adjusted EBITDA</w:t>
            </w:r>
            <w:r>
              <w:rPr>
                <w:position w:val="8"/>
                <w:sz w:val="19"/>
              </w:rPr>
              <w:t>1</w:t>
            </w:r>
            <w:r>
              <w:rPr/>
              <w:t xml:space="preserve"> of approximately €56 million to €58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release its full financial and operating results for the first quarter ended March 31, 2025, on Monday, May 12, 2025 and will host an earnings call via webcast to discuss the results at 8:30 a.m. Eastern time on May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information discussed in this press release is based on management’s preliminary analysis of financial results for the quarterly period ended March 31, 2025 and information available as of the date of this announcement. The Company’s independent registered accounting firm has not reviewed or audited the preliminary financial information set forth in this press release. Prior to the release of the financial statements for and as of the period ended March 31, 2025, the Company may identify items that would require it to make adjustments to the preliminary financial information, which may be material to the information presented above.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Jim Bombassei</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shd w:fill="FEFEFE" w:val="clear"/>
        </w:rPr>
      </w:pPr>
      <w:r>
        <w:rPr>
          <w:rFonts w:ascii="Times New Roman;Times;Serif" w:hAnsi="Times New Roman;Times;Serif"/>
          <w:b w:val="false"/>
          <w:i w:val="false"/>
          <w:caps w:val="false"/>
          <w:smallCaps w:val="false"/>
          <w:sz w:val="20"/>
          <w:u w:val="single"/>
          <w:shd w:fill="FEFEFE" w:val="clear"/>
        </w:rPr>
        <w:t>j.bombassei@sportradar.com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Sandra Lee</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sandra.lee@sportradar.com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Non-IFRS measure. See the sections captioned “Non-IFRS Financial Measures” and “IFRS to Non-IFRS reconciliations”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238885" cy="1511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885" cy="15113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IFRS to Non-IFRS Reconciliations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Adjusted EBITDA to the most directly comparable International Financial Reporting Standards (“IFRS”) Accounting Standards financial performance measure, which is Profit for the period from continuing operations (unaudited):</w:t>
      </w:r>
    </w:p>
    <w:p>
      <w:pPr>
        <w:pStyle w:val="TextBody"/>
        <w:bidi w:val="0"/>
        <w:spacing w:before="0" w:after="0"/>
        <w:ind w:left="0" w:right="0" w:hanging="0"/>
        <w:jc w:val="left"/>
        <w:rPr>
          <w:caps w:val="false"/>
          <w:smallCaps w:val="false"/>
        </w:rPr>
      </w:pPr>
      <w:r>
        <w:rPr>
          <w:caps w:val="false"/>
          <w:smallCaps w:val="false"/>
        </w:rPr>
        <w:t> </w:t>
      </w:r>
    </w:p>
    <w:tbl>
      <w:tblPr>
        <w:tblW w:w="9957" w:type="dxa"/>
        <w:jc w:val="left"/>
        <w:tblInd w:w="0" w:type="dxa"/>
        <w:tblLayout w:type="fixed"/>
        <w:tblCellMar>
          <w:top w:w="0" w:type="dxa"/>
          <w:left w:w="0" w:type="dxa"/>
          <w:bottom w:w="0" w:type="dxa"/>
          <w:right w:w="0" w:type="dxa"/>
        </w:tblCellMar>
      </w:tblPr>
      <w:tblGrid>
        <w:gridCol w:w="7460"/>
        <w:gridCol w:w="60"/>
        <w:gridCol w:w="190"/>
        <w:gridCol w:w="886"/>
        <w:gridCol w:w="109"/>
        <w:gridCol w:w="81"/>
        <w:gridCol w:w="190"/>
        <w:gridCol w:w="886"/>
        <w:gridCol w:w="95"/>
      </w:tblGrid>
      <w:tr>
        <w:trPr/>
        <w:tc>
          <w:tcPr>
            <w:tcW w:w="7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Profit for the Period from Continuing Operations to Adjusted EBITDA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076" w:type="dxa"/>
            <w:gridSpan w:val="2"/>
            <w:tcBorders/>
            <w:vAlign w:val="center"/>
          </w:tcPr>
          <w:p>
            <w:pPr>
              <w:pStyle w:val="TableContents"/>
              <w:bidi w:val="0"/>
              <w:spacing w:before="0" w:after="283"/>
              <w:jc w:val="center"/>
              <w:rPr/>
            </w:pPr>
            <w:r>
              <w:rPr/>
              <w:t> </w:t>
            </w:r>
          </w:p>
        </w:tc>
        <w:tc>
          <w:tcPr>
            <w:tcW w:w="1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76"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for the period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1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(excluding amortization of capitalized sport rights licenses)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loss (gain),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w:t>
            </w:r>
          </w:p>
        </w:tc>
        <w:tc>
          <w:tcPr>
            <w:tcW w:w="1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56,000</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shd w:fill="FEFEFE" w:val="clear"/>
        </w:rPr>
      </w:pPr>
      <w:r>
        <w:rPr>
          <w:rFonts w:ascii="Times New Roman;Times;Serif" w:hAnsi="Times New Roman;Times;Serif"/>
          <w:b/>
          <w:i w:val="false"/>
          <w:caps w:val="false"/>
          <w:smallCaps w:val="false"/>
          <w:sz w:val="20"/>
          <w:u w:val="single"/>
          <w:shd w:fill="FEFEFE" w:val="clear"/>
        </w:rPr>
        <w:t>Non-IFRS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in this press release financial information that has not been prepared in accordance with IFRS, including Adjusted EBITDA. We use non-IFRS financial measures internally in analyzing our financial results and believe they are useful to investors, as a supplement to IFRS measures, in evaluating our ongoing operational performance. We believe that the use of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Non-IFRS financial measures should not be considered in isolation from, or as a substitute for, financial information prepared in accordance with IFRS. Investors are encouraged to review the reconciliation of non-IFRS financial measures to their most directly comparable IFRS financial measures provided in this press release.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w:t>
            </w:r>
            <w:r>
              <w:rPr/>
              <w:t>Adjusted EBITDA” is a non-IFRS financial measure that represents earnings for the period from continuing operations adjusted for finance income and finance costs, income tax expense or benefit, depreciation and amortization (excluding amortization of capitalized sport rights licenses), foreign currency gains or losses, and other items that are not related to the Company’s revenue-generating operations such as share-based compensation. Other costs includes non-recurring items not related to the Company’s revenue-generating operations such as management restructuring costs, non-routine litigation, and transaction-related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License fees relating to sport rights are a key component of how we generate revenue and one of our main operating expenses.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As such, our presentation of Adjusted EBITDA reflects the full costs of our sport right’s licenses. Management believes that, by including amortization of sport rights in its calculation of Adjusted EBITDA, the result is a financial metric that is both more meaningful and comparable for management and our investors while also being more indicative of our ongoing operating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Adjusted EBITDA because management believes that some items excluded are not representative of our ongoing business and this information is relevant in evaluating the results relative to other entities that operate in the same industry. Management believes Adjusted EBITDA is useful to investors for evaluating Sportradar’s operating performance against competitors, which commonly disclose similar performance measures. However, Sportradar’s calculation of Adjusted EBITDA may not be comparable to other similarly titled performance measures of other companies. Adjusted EBITDA is not intended to be a substitute for any IFRS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238885" cy="1511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38885" cy="15113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revenue or other financial statement data presented in our consolidated financial statements as indicators of financial performance. We compensate for these limitations by relying primarily on our IFRS financial results and using Adjusted EBITDA only as a supplemental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has previously disclosed that it is unable to reconcile Adjusted EBITDA on a forward-looking basis due to the inability to predict certain IFRS amounts, the preliminary results provided herein relate to a recently completed quarter and are based on available internal estimates. As such, the Company is able to provide an estimated reconciliation to the nearest IFRS measure, profit for the period, which remains subject to finalization of the financial results for the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for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including, without limitation, statements regarding our preliminary estimated results and ranges for the period ended March 31, 2025 and expected performance. In some cases, these forward-looking statements can be identified by words or phrases such as “may,” “might,” “will,” “could,” “would,” “should,” “expect,” “plan,” “anticipate,” “intend,” “seek,” “believe,” “estimate,” “predict,” “potential,” “projects”, “continue,” “contemplate,” “confident,”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or performance may differ materially from the information contained in the forward-looking statements as a result of a number of factors, including, without limitation, the following: risks that our independent registered accounting firm has not reviewed, audited or performed any procedures with respect to our preliminary financial estimated results and material changes in such results may result during the course of our quarter-end closing procedures and review, economy downturns and political and market conditions beyond our control, including the impact of the Russia/Ukraine and other military conflicts such as acts or war or terrorism and foreign exchange rate fluctuations; pandemics could have an adverse effect on our business; dependence on our strategic relationships with our sports league partners; effect of social responsibility concerns and public opinion on responsible gaming requirements on our reputation; potential adverse changes in public and consumer tastes and preferences and industry trends; potential changes in competitive landscape, including new market entrants or disintermediation; potential inability to anticipate and adopt new technology, including efficiencies achieved through the use of artificial intelligence; potential errors, failures or bugs in our products; inability to protect our systems and data from continually evolving cybersecurity risks, security breaches or other technological risks; potential interruptions and failures in our systems or infrastructure; difficulties in our ability to evaluate, complete and integrate acquisitions (including the IMG Arena acquisition) successfully; our ability to comply with governmental laws, rules, regulations, and other legal obligations, related to data privacy, protection and security; ability to comply with the variety of unsettled and developing U.S. and foreign laws on sports betting; dependence on jurisdictions with uncertain regulatory frameworks for our revenue; changes in the legal and regulatory status of real money gambling and betting legislation on us and our customers;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any material weaknesses identified in our internal control over financial reporting; inability to secure additional financing in a tim</w:t>
      </w:r>
      <w:r>
        <w:rPr>
          <w:rFonts w:ascii="Times New Roman;Times;Serif" w:hAnsi="Times New Roman;Times;Serif"/>
          <w:b w:val="false"/>
          <w:i w:val="false"/>
          <w:caps w:val="false"/>
          <w:smallCaps w:val="false"/>
          <w:sz w:val="20"/>
          <w:shd w:fill="FFFFFF" w:val="clear"/>
        </w:rPr>
        <w:t>ely manner, or at all, to meet our long-term future capital needs; risks related to future acquisitions; and other risk factors set forth in the section titled “Risk Factors” in our Annual Report on Form 20-F for the fiscal year ended December 31, 2024, and other documents filed with or furnished to the SEC, accessible on the SEC’s website at www.sec.gov and on our website at https://investors.sportradar.com. These statements reflect management’s current expectations regarding future events and operating performance and speak only as of the date of this press release. One should not put undue reliance on any forw</w:t>
      </w:r>
      <w:r>
        <w:rPr>
          <w:rFonts w:ascii="Times New Roman;Times;Serif" w:hAnsi="Times New Roman;Times;Serif"/>
          <w:b w:val="false"/>
          <w:i w:val="false"/>
          <w:caps w:val="false"/>
          <w:smallCaps w:val="false"/>
          <w:sz w:val="20"/>
        </w:rPr>
        <w:t>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238885" cy="1511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38885" cy="15113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Sportradar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Group AG (NASDAQ: SRAD), founded in 2001, is a leading global sports technology company creating immersive experiences for sports fans and bettors. Positioned at the intersection of the sports, media and betting industries, the Company provides sports federations, news media, consumer platforms and sports betting operators with a best-in-class range of solutions to help grow their business. As the trusted partner of organizations like the ATP, NBA, NHL, MLB, NASCAR, UEFA, FIFA, and Bundesliga, Sportradar covers close to a million events annually across all major sports. With deep industry relationships and expertise, Sportradar is not just redefining the sports fan experience, it also safeguards sports through its Integrity Services division and advocacy for an integrity-driven environment for all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Sportradar, please visit </w:t>
      </w:r>
      <w:r>
        <w:rPr>
          <w:rFonts w:ascii="Times New Roman;Times;Serif" w:hAnsi="Times New Roman;Times;Serif"/>
          <w:b w:val="false"/>
          <w:i w:val="false"/>
          <w:caps w:val="false"/>
          <w:smallCaps w:val="false"/>
          <w:sz w:val="20"/>
          <w:u w:val="single"/>
        </w:rPr>
        <w:t>www.sportradar.com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0" w:name="tm2512746d5_ex99-3.htm"/>
      <w:bookmarkStart w:id="11" w:name="kstm2512746d5_ex993"/>
      <w:bookmarkEnd w:id="10"/>
      <w:bookmarkEnd w:id="11"/>
      <w:r>
        <w:rPr/>
        <w:t> </w:t>
      </w:r>
      <w:r>
        <w:br w:type="page"/>
      </w:r>
    </w:p>
    <w:tbl>
      <w:tblPr>
        <w:tblW w:w="3231" w:type="dxa"/>
        <w:jc w:val="left"/>
        <w:tblInd w:w="0" w:type="dxa"/>
        <w:tblLayout w:type="fixed"/>
        <w:tblCellMar>
          <w:top w:w="0" w:type="dxa"/>
          <w:left w:w="0" w:type="dxa"/>
          <w:bottom w:w="0" w:type="dxa"/>
          <w:right w:w="0" w:type="dxa"/>
        </w:tblCellMar>
      </w:tblPr>
      <w:tblGrid>
        <w:gridCol w:w="1966"/>
        <w:gridCol w:w="1265"/>
      </w:tblGrid>
      <w:tr>
        <w:trPr/>
        <w:tc>
          <w:tcPr>
            <w:tcW w:w="1966" w:type="dxa"/>
            <w:tcBorders/>
            <w:vAlign w:val="center"/>
          </w:tcPr>
          <w:p>
            <w:pPr>
              <w:pStyle w:val="TableContents"/>
              <w:bidi w:val="0"/>
              <w:spacing w:before="0" w:after="283"/>
              <w:jc w:val="left"/>
              <w:rPr/>
            </w:pPr>
            <w:r>
              <w:rPr/>
              <w:drawing>
                <wp:inline distT="0" distB="0" distL="0" distR="0">
                  <wp:extent cx="1238885" cy="1511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38885" cy="151130"/>
                          </a:xfrm>
                          <a:prstGeom prst="rect">
                            <a:avLst/>
                          </a:prstGeom>
                        </pic:spPr>
                      </pic:pic>
                    </a:graphicData>
                  </a:graphic>
                </wp:inline>
              </w:drawing>
            </w:r>
          </w:p>
        </w:tc>
        <w:tc>
          <w:tcPr>
            <w:tcW w:w="1265" w:type="dxa"/>
            <w:tcBorders/>
            <w:vAlign w:val="center"/>
          </w:tcPr>
          <w:p>
            <w:pPr>
              <w:pStyle w:val="TableContents"/>
              <w:bidi w:val="0"/>
              <w:spacing w:before="0" w:after="283"/>
              <w:jc w:val="right"/>
              <w:rPr>
                <w:b/>
              </w:rPr>
            </w:pPr>
            <w:r>
              <w:rPr>
                <w:b/>
              </w:rPr>
              <w:t>Exhibit 99.3</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SPORTRADAR ANNOUNCES PRICING OF PUBLIC OFFERING OF CLASS A ORDINARY SHARES BY SELLING SHAREHOLDERS AND CONCURRENT SHARE REPURCHASE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 GALLEN, Switzerland, April 24, 2025 </w:t>
      </w:r>
      <w:r>
        <w:rPr>
          <w:rFonts w:ascii="Times New Roman;Times;Serif" w:hAnsi="Times New Roman;Times;Serif"/>
          <w:b w:val="false"/>
          <w:i w:val="false"/>
          <w:caps w:val="false"/>
          <w:smallCaps w:val="false"/>
          <w:sz w:val="20"/>
        </w:rPr>
        <w:t>– Sportradar Group AG (Nasdaq: SRAD) (“Sportradar” or the “Company”) today announced the pricing of the previously announced secondary public offering of an aggregate of 23,000,000 Class A ordinary shares of the Company (the “Secondary Offering”) by an affiliate of Canada Pension Plan Investment Board, an affiliate of TCV, and Carsten Koerl, the Company’s Chief Executive Officer (collectively, the “Selling Shareholders”), at a price to the public of $22.50 per share. The underwriters have been granted a 30-day option to purchase up to an additional 3,450,000 Class A ordinary shares from certain of the Selling Shareholders. The Company is not selling any shares and will not receive any proceeds from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Secondary Offering, Sportradar agreed to concurrently purchase from the underwriters 3,000,000 Class A ordinary shares at a price per share equal to the price at which the underwriters purchase the shares from the Selling Shareholders in the Secondary Offering (the “Share Repurchase”), subject to the completion of the Secondary Offering. The Share Repurchase is part of the Company’s existing $200 million share repurchase program and the Company intends to fund the Share Repurchase with cash on hand. The underwriters will not receive any underwriting fees for the shares being repurchased by the Company. The Secondary Offering is expected to close on April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and J.P. Morgan are acting as lead book-running managers, with Citigroup, Morgan Stanley, UBS Investment Bank, Jefferies and Deutsche Bank Securities acting as joint book-running managers for the Secondary Offering. The Benchmark Company, Canaccord Genuity, Citizens Capital Markets, Craig-Hallum and Needham &amp; Company are acting as co-managers for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a shelf registration statement (including a prospectus) on Form F-3 with the U.S. Securities and Exchange Commission (the “SEC”) for the Secondary Offering to which this communication relates. The registration statement automatically became effective upon filing on April 22, 2025. A preliminary prospectus supplement relating to the Secondary Offering has also been, and a prospectus supplement relating to the Secondary Offering will be, filed with the SEC. Investors should read the accompanying prospectus, dated April 22, 2025, the preliminary prospectus supplement relating to the Secondary Offering, dated April 22, 2025, the prospectus supplement once available and documents the Company has filed with the SEC for more complete information about the Company and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may be obtained for free by visiting EDGAR on the SEC website at www.sec.gov. The prospectus supplement and accompanying prospectus relating to the Secondary Offering may also be obtained from: Goldman Sachs &amp; Co. LLC, Attn: Prospectus Department, 200 West Street, New York, New York 10282, telephone: 1-866-471-2526, facsimile: 212-902-9316, or by emailing prospectus-ny@ny.email.gs.com; or J.P. Morgan Securities LLC, c/o Broadridge Financial Solutions, 1155 Long Island Avenue, Edgewood, NY 11717 or by email at prospectus-eq_fi@jpmchase.com.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 Company’s Class A ordinary shares or any other securities, nor shall there be any offer, solicitation or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br/>
        <w:t>Jim Bombassei</w:t>
        <w:br/>
      </w:r>
      <w:r>
        <w:rPr>
          <w:rFonts w:ascii="Times New Roman;Times;Serif" w:hAnsi="Times New Roman;Times;Serif"/>
          <w:b w:val="false"/>
          <w:i w:val="false"/>
          <w:caps w:val="false"/>
          <w:smallCaps w:val="false"/>
          <w:sz w:val="20"/>
          <w:u w:val="single"/>
        </w:rPr>
        <w:t>j.bombassei@sportradar.com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38885" cy="1511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885" cy="1511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Sandra Lee</w:t>
        <w:br/>
      </w:r>
      <w:r>
        <w:rPr>
          <w:rFonts w:ascii="Times New Roman;Times;Serif" w:hAnsi="Times New Roman;Times;Serif"/>
          <w:b w:val="false"/>
          <w:i w:val="false"/>
          <w:caps w:val="false"/>
          <w:smallCaps w:val="false"/>
          <w:sz w:val="20"/>
          <w:u w:val="single"/>
        </w:rPr>
        <w:t>sandra.lee@sportradar.com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for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including, without limitation, statements regarding the closing of the Secondary Offering and the Share Repurchase. In some cases, these forward-looking statements can be identified by words or phrases such as “may,” “might,” “will,” “could,” “would,” “should,” “expect,” “plan,” “anticipate,” “intend,” “seek,” “believe,” “estimate,” “predict,” “potential,” “projects”, “continue,” “contemplate,” “confident,”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economy downturns and political and market conditions beyond our control, including the impact of the Russia/Ukraine and other military conflicts such as acts or war or terrorism and foreign exchange rate fluctuations; pandemics could have an adverse effect on our business; dependence on our strategic relationships with our sports league partners; effect of social responsibility concerns and public opinion on responsible gaming requirements on our reputation; potential adverse changes in public and consumer tastes and preferences and industry trends; potential changes in competitive landscape, including new market entrants or disintermediation; potential inability to anticipate and adopt new technology, including efficiencies achieved through the use of artificial intelligence; potential errors, failures or bugs in our products; inability to protect our systems and data from continually evolving cybersecurity risks, security breaches or other technological risks; potential interruptions and failures in our systems or infrastructure; difficulties in our ability to evaluate, complete and integrate acquisitions (including the proposed acquisition of the global sports betting portfolio business of IMG Arena US Parent, LLC) successfully; our ability to comply with governmental laws, rules, regulations, and other legal obligations, related to data privacy, protection and security; ability to comply with the variety of unsettled and developing U.S. and foreign laws on sports betting; dependence on jurisdictions with uncertain regulatory frameworks for our revenue; changes in the legal and regulatory status of real money gambling and betting legislation on us and our customers; our inability to maintain or obtain regulatory compliance in the jurisdictions in which we conduct our business; our ability to obtain, maintain, protect, enforce and defend our intellectual property rights; our ability to obtain and maintain sufficient data rights from major sports leagues, including exclusive rights; any material weaknesses identified in our internal control over financial reporting; inability to secure additional financing in a timely manner, or at all, to meet our long-term future capital needs; risks related to future acquisitions; and other risk factors set forth in the section titled “Risk Factors” in our Annual Report on Form 20-F for the fiscal year ended December 31, 2024, and other documents filed with or furnished to the SEC, accessible on the SEC’s website at www.sec.gov and on our website at https://investors.sportradar.com. These statements reflect management’s current expectations regarding future events and operating performance and speak only as of the date of this press release. One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About Sportradar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Sportradar Group AG (Nasdaq: SRAD), founded in 2001, is a leading global sports technology company creating immersive experiences for sports fans and bettors. Positioned at the intersection of the sports, media and betting industries, the Company provides sports federations, news media, consumer platforms and sports betting operators with a best-in-class range of solutions to help grow their business. As the trusted partner of organizations like the ATP, NBA, NHL, MLB, NASCAR, UEFA, FIFA, and Bundesliga, Sportradar covers close to a million events annually across all major sports. With deep industry relationships and expertise, Sportradar is not just redefining the sports fan experience, it also safeguards sports through its Integrity Services division and advocacy for an integrity-driven environment for all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Sportradar, please visit www.sportradar.com.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34541</Words>
  <Characters>186837</Characters>
  <CharactersWithSpaces>223198</CharactersWithSpaces>
  <Paragraphs>1488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