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515620</wp:posOffset>
            </wp:positionV>
            <wp:extent cx="715327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381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494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(Rule 13d-102)</w:t>
      </w:r>
    </w:p>
    <w:p>
      <w:pPr>
        <w:spacing w:after="0" w:line="207" w:lineRule="exact"/>
        <w:rPr>
          <w:sz w:val="24"/>
          <w:szCs w:val="24"/>
          <w:color w:val="auto"/>
        </w:rPr>
      </w:pPr>
    </w:p>
    <w:p>
      <w:pPr>
        <w:jc w:val="center"/>
        <w:ind w:left="360" w:right="2560"/>
        <w:spacing w:after="0" w:line="266" w:lineRule="auto"/>
        <w:rPr>
          <w:sz w:val="20"/>
          <w:szCs w:val="20"/>
          <w:color w:val="auto"/>
        </w:rPr>
      </w:pPr>
      <w:r>
        <w:rPr>
          <w:rFonts w:ascii="Arial" w:cs="Arial" w:eastAsia="Arial" w:hAnsi="Arial"/>
          <w:sz w:val="18"/>
          <w:szCs w:val="18"/>
          <w:b w:val="1"/>
          <w:bCs w:val="1"/>
          <w:color w:val="auto"/>
        </w:rPr>
        <w:t>INFORMATION TO BE INCLUDED IN STATEMENTS FILED PURSUANT TO RULES 13d-1(b),(c), AND (d) AND AMENDMENTS THERETO FILED PURSUANT TO RULE 13d-2(b)</w:t>
      </w:r>
    </w:p>
    <w:p>
      <w:pPr>
        <w:spacing w:after="0" w:line="3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Sportradar Group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ind w:left="4600"/>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H8088L103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o Rule 13d-1(b)</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o Rule 13d-1(c)</w:t>
      </w:r>
    </w:p>
    <w:p>
      <w:pPr>
        <w:spacing w:after="0" w:line="225" w:lineRule="exact"/>
        <w:rPr>
          <w:sz w:val="24"/>
          <w:szCs w:val="24"/>
          <w:color w:val="auto"/>
        </w:rPr>
      </w:pPr>
    </w:p>
    <w:p>
      <w:pPr>
        <w:ind w:left="5240" w:hanging="249"/>
        <w:spacing w:after="0"/>
        <w:tabs>
          <w:tab w:leader="none" w:pos="52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0" w:lineRule="exact"/>
        <w:rPr>
          <w:rFonts w:ascii="MS PGothic" w:cs="MS PGothic" w:eastAsia="MS PGothic" w:hAnsi="MS PGothic"/>
          <w:sz w:val="18"/>
          <w:szCs w:val="18"/>
          <w:color w:val="auto"/>
        </w:rPr>
      </w:pPr>
    </w:p>
    <w:p>
      <w:pPr>
        <w:spacing w:after="0" w:line="254" w:lineRule="exact"/>
        <w:rPr>
          <w:rFonts w:ascii="MS PGothic" w:cs="MS PGothic" w:eastAsia="MS PGothic" w:hAnsi="MS PGothic"/>
          <w:sz w:val="18"/>
          <w:szCs w:val="18"/>
          <w:color w:val="auto"/>
        </w:rPr>
      </w:pPr>
    </w:p>
    <w:p>
      <w:pPr>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15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296"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H8088L103 Page 2 of 5 Pages</w:t>
      </w:r>
    </w:p>
    <w:p>
      <w:pPr>
        <w:spacing w:after="0" w:line="22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Canada Pension Plan Investment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340"/>
        <w:spacing w:after="0"/>
        <w:rPr>
          <w:sz w:val="20"/>
          <w:szCs w:val="20"/>
          <w:color w:val="auto"/>
        </w:rPr>
      </w:pPr>
      <w:r>
        <w:rPr>
          <w:rFonts w:ascii="Arial" w:cs="Arial" w:eastAsia="Arial" w:hAnsi="Arial"/>
          <w:sz w:val="18"/>
          <w:szCs w:val="18"/>
          <w:color w:val="auto"/>
        </w:rPr>
        <w:t>(a) o</w:t>
      </w:r>
    </w:p>
    <w:p>
      <w:pPr>
        <w:spacing w:after="0" w:line="9" w:lineRule="exact"/>
        <w:rPr>
          <w:sz w:val="20"/>
          <w:szCs w:val="20"/>
          <w:color w:val="auto"/>
        </w:rPr>
      </w:pPr>
    </w:p>
    <w:p>
      <w:pPr>
        <w:ind w:left="10340"/>
        <w:spacing w:after="0"/>
        <w:rPr>
          <w:sz w:val="20"/>
          <w:szCs w:val="20"/>
          <w:color w:val="auto"/>
        </w:rPr>
      </w:pPr>
      <w:r>
        <w:rPr>
          <w:rFonts w:ascii="Arial" w:cs="Arial" w:eastAsia="Arial" w:hAnsi="Arial"/>
          <w:sz w:val="18"/>
          <w:szCs w:val="18"/>
          <w:color w:val="auto"/>
        </w:rPr>
        <w:t>(b)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60" w:right="7060" w:hanging="452"/>
        <w:spacing w:after="0" w:line="514" w:lineRule="auto"/>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5</w:t>
            </w:r>
          </w:p>
        </w:tc>
        <w:tc>
          <w:tcPr>
            <w:tcW w:w="826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27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rPr>
              <w:t>Number of</w:t>
            </w:r>
          </w:p>
        </w:tc>
        <w:tc>
          <w:tcPr>
            <w:tcW w:w="280" w:type="dxa"/>
            <w:vAlign w:val="bottom"/>
          </w:tcPr>
          <w:p>
            <w:pPr>
              <w:jc w:val="right"/>
              <w:ind w:right="90"/>
              <w:spacing w:after="0" w:line="201" w:lineRule="exact"/>
              <w:rPr>
                <w:sz w:val="20"/>
                <w:szCs w:val="20"/>
                <w:color w:val="auto"/>
              </w:rPr>
            </w:pPr>
            <w:r>
              <w:rPr>
                <w:rFonts w:ascii="Arial" w:cs="Arial" w:eastAsia="Arial" w:hAnsi="Arial"/>
                <w:sz w:val="18"/>
                <w:szCs w:val="18"/>
                <w:b w:val="1"/>
                <w:bCs w:val="1"/>
                <w:color w:val="auto"/>
                <w:w w:val="79"/>
              </w:rPr>
              <w:t>6</w:t>
            </w: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Shares</w:t>
            </w:r>
          </w:p>
        </w:tc>
        <w:tc>
          <w:tcPr>
            <w:tcW w:w="280" w:type="dxa"/>
            <w:vAlign w:val="bottom"/>
          </w:tcPr>
          <w:p>
            <w:pPr>
              <w:spacing w:after="0"/>
              <w:rPr>
                <w:sz w:val="19"/>
                <w:szCs w:val="19"/>
                <w:color w:val="auto"/>
              </w:rPr>
            </w:pPr>
          </w:p>
        </w:tc>
        <w:tc>
          <w:tcPr>
            <w:tcW w:w="826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 xml:space="preserve">97,607,178 </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64"/>
        </w:trPr>
        <w:tc>
          <w:tcPr>
            <w:tcW w:w="2700" w:type="dxa"/>
            <w:vAlign w:val="bottom"/>
          </w:tcPr>
          <w:p>
            <w:pPr>
              <w:spacing w:after="0"/>
              <w:rPr>
                <w:sz w:val="20"/>
                <w:szCs w:val="20"/>
                <w:color w:val="auto"/>
              </w:rPr>
            </w:pPr>
            <w:r>
              <w:rPr>
                <w:rFonts w:ascii="Arial" w:cs="Arial" w:eastAsia="Arial" w:hAnsi="Arial"/>
                <w:sz w:val="18"/>
                <w:szCs w:val="18"/>
                <w:color w:val="auto"/>
              </w:rPr>
              <w:t>Beneficially</w:t>
            </w:r>
          </w:p>
        </w:tc>
        <w:tc>
          <w:tcPr>
            <w:tcW w:w="280" w:type="dxa"/>
            <w:vAlign w:val="bottom"/>
            <w:tcBorders>
              <w:bottom w:val="single" w:sz="8" w:color="auto"/>
            </w:tcBorders>
          </w:tcPr>
          <w:p>
            <w:pPr>
              <w:spacing w:after="0"/>
              <w:rPr>
                <w:sz w:val="22"/>
                <w:szCs w:val="22"/>
                <w:color w:val="auto"/>
              </w:rPr>
            </w:pPr>
          </w:p>
        </w:tc>
        <w:tc>
          <w:tcPr>
            <w:tcW w:w="82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rPr>
              <w:t>Owned by</w:t>
            </w:r>
          </w:p>
        </w:tc>
        <w:tc>
          <w:tcPr>
            <w:tcW w:w="280" w:type="dxa"/>
            <w:vAlign w:val="bottom"/>
          </w:tcPr>
          <w:p>
            <w:pPr>
              <w:jc w:val="right"/>
              <w:ind w:right="90"/>
              <w:spacing w:after="0" w:line="201" w:lineRule="exact"/>
              <w:rPr>
                <w:sz w:val="20"/>
                <w:szCs w:val="20"/>
                <w:color w:val="auto"/>
              </w:rPr>
            </w:pPr>
            <w:r>
              <w:rPr>
                <w:rFonts w:ascii="Arial" w:cs="Arial" w:eastAsia="Arial" w:hAnsi="Arial"/>
                <w:sz w:val="18"/>
                <w:szCs w:val="18"/>
                <w:b w:val="1"/>
                <w:bCs w:val="1"/>
                <w:color w:val="auto"/>
                <w:w w:val="79"/>
              </w:rPr>
              <w:t>7</w:t>
            </w:r>
          </w:p>
        </w:tc>
        <w:tc>
          <w:tcPr>
            <w:tcW w:w="8260" w:type="dxa"/>
            <w:vAlign w:val="bottom"/>
          </w:tcPr>
          <w:p>
            <w:pPr>
              <w:ind w:left="180"/>
              <w:spacing w:after="0" w:line="20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Each Reporting</w:t>
            </w:r>
          </w:p>
        </w:tc>
        <w:tc>
          <w:tcPr>
            <w:tcW w:w="280" w:type="dxa"/>
            <w:vAlign w:val="bottom"/>
          </w:tcPr>
          <w:p>
            <w:pPr>
              <w:spacing w:after="0"/>
              <w:rPr>
                <w:sz w:val="18"/>
                <w:szCs w:val="18"/>
                <w:color w:val="auto"/>
              </w:rPr>
            </w:pPr>
          </w:p>
        </w:tc>
        <w:tc>
          <w:tcPr>
            <w:tcW w:w="826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37"/>
        </w:trPr>
        <w:tc>
          <w:tcPr>
            <w:tcW w:w="2700" w:type="dxa"/>
            <w:vAlign w:val="bottom"/>
          </w:tcPr>
          <w:p>
            <w:pPr>
              <w:spacing w:after="0"/>
              <w:rPr>
                <w:sz w:val="20"/>
                <w:szCs w:val="20"/>
                <w:color w:val="auto"/>
              </w:rPr>
            </w:pPr>
            <w:r>
              <w:rPr>
                <w:rFonts w:ascii="Arial" w:cs="Arial" w:eastAsia="Arial" w:hAnsi="Arial"/>
                <w:sz w:val="18"/>
                <w:szCs w:val="18"/>
                <w:color w:val="auto"/>
              </w:rPr>
              <w:t>Person With</w:t>
            </w:r>
          </w:p>
        </w:tc>
        <w:tc>
          <w:tcPr>
            <w:tcW w:w="280" w:type="dxa"/>
            <w:vAlign w:val="bottom"/>
            <w:tcBorders>
              <w:bottom w:val="single" w:sz="8" w:color="auto"/>
            </w:tcBorders>
          </w:tcPr>
          <w:p>
            <w:pPr>
              <w:spacing w:after="0"/>
              <w:rPr>
                <w:sz w:val="20"/>
                <w:szCs w:val="20"/>
                <w:color w:val="auto"/>
              </w:rPr>
            </w:pPr>
          </w:p>
        </w:tc>
        <w:tc>
          <w:tcPr>
            <w:tcW w:w="8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8</w:t>
            </w:r>
          </w:p>
        </w:tc>
        <w:tc>
          <w:tcPr>
            <w:tcW w:w="826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61"/>
        </w:trPr>
        <w:tc>
          <w:tcPr>
            <w:tcW w:w="2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 xml:space="preserve">97,607,178 </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97,607,178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(SEE INSTRUCTIONS):</w:t>
      </w:r>
    </w:p>
    <w:p>
      <w:pPr>
        <w:spacing w:after="0" w:line="225" w:lineRule="exact"/>
        <w:rPr>
          <w:sz w:val="20"/>
          <w:szCs w:val="20"/>
          <w:color w:val="auto"/>
        </w:rPr>
      </w:pPr>
    </w:p>
    <w:p>
      <w:pPr>
        <w:ind w:left="10740"/>
        <w:spacing w:after="0"/>
        <w:rPr>
          <w:sz w:val="20"/>
          <w:szCs w:val="20"/>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460" w:right="5780" w:hanging="452"/>
        <w:spacing w:after="0" w:line="324" w:lineRule="auto"/>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8"/>
          <w:szCs w:val="18"/>
          <w:b w:val="1"/>
          <w:bCs w:val="1"/>
          <w:color w:val="auto"/>
        </w:rPr>
        <w:t xml:space="preserve">47.5% </w:t>
      </w:r>
      <w:r>
        <w:rPr>
          <w:rFonts w:ascii="Arial" w:cs="Arial" w:eastAsia="Arial" w:hAnsi="Arial"/>
          <w:sz w:val="29"/>
          <w:szCs w:val="29"/>
          <w:color w:val="auto"/>
          <w:vertAlign w:val="superscript"/>
        </w:rPr>
        <w:t>(2)</w:t>
      </w:r>
    </w:p>
    <w:p>
      <w:pPr>
        <w:spacing w:after="0" w:line="1" w:lineRule="exact"/>
        <w:rPr>
          <w:rFonts w:ascii="Arial" w:cs="Arial" w:eastAsia="Arial" w:hAnsi="Arial"/>
          <w:sz w:val="18"/>
          <w:szCs w:val="18"/>
          <w:b w:val="1"/>
          <w:bCs w:val="1"/>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0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238125</wp:posOffset>
            </wp:positionV>
            <wp:extent cx="71532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firstLine="8"/>
        <w:spacing w:after="0" w:line="269" w:lineRule="auto"/>
        <w:tabs>
          <w:tab w:leader="none" w:pos="25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These shares are held directly by Blackbird Holdco Ltd. (“Blackbird Holdco”), which is owned by CPP Investment Board Europe S.à r.l. (“CPP Europe”), Blackbird BV InvestCo S.à r.l. (“Blackbird BV”), 10868680 Canada Inc. (“10868680 Canada”) and TCV Luxco Sports S.à.r.l. Blackbird Holdco owns 131,501,490 Class A Ordinary Shares of the issuer (“Class A Shares”). CPP Europe is a wholly-owned subsidiary of Canada Pension Plan Investment Board (“CPP Investments”), and indirectly owns 79,538,356 Class A Shares through Blackbird Holdco, which represents the proportional interest of CPP Europe (and CPP Investments) in the Class A Shares held by Blackbird Holdco. In addition, CPP Europe may be deemed to have voting and dispositive power in respect of 18,068,822 Class A Shares held indirectly by Blackbird BV, and accordingly, CPP Investments may be deemed to beneficially own such Class A Shares for purposes of Section 13(d) of the Securities Exchange Act of 1934, as amended (“Exchange Act”). 10868680 Canada has a nominal economic interest in Blackbird Holdco and Blackbird BV and has agreed not to vote or transfer any of its shares of Blackbird Holdco and Blackbird BV except as directed by CPP Investments and accordingly CPP Investments may be deemed to beneficially own such shares for purposes of Section 13(d) of the Exchange Act.</w:t>
      </w:r>
    </w:p>
    <w:p>
      <w:pPr>
        <w:spacing w:after="0" w:line="185" w:lineRule="exact"/>
        <w:rPr>
          <w:rFonts w:ascii="Arial" w:cs="Arial" w:eastAsia="Arial" w:hAnsi="Arial"/>
          <w:sz w:val="17"/>
          <w:szCs w:val="17"/>
          <w:color w:val="auto"/>
        </w:rPr>
      </w:pPr>
    </w:p>
    <w:p>
      <w:pPr>
        <w:ind w:right="240" w:firstLine="8"/>
        <w:spacing w:after="0" w:line="277"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a total of 205,454,977 Class A Shares outstanding after the issuer’s initial public offering and concurrent private placements as disclosed in the issuer’s prospectus filed with the Securities and Exchange Commission on September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Page 3 of 5 Pages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H8088L103</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u w:val="single" w:color="auto"/>
          <w:color w:val="auto"/>
        </w:rPr>
        <w:t>Name of Issuer</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Sportradar Group AG</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6"/>
          <w:szCs w:val="16"/>
          <w:u w:val="single" w:color="auto"/>
          <w:color w:val="auto"/>
        </w:rPr>
        <w:t>Address of Issuer’s Principal Executive Offices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Feldlistrasse 2</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CH-9000 St. Gallen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Switzerland</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2(a).</w:t>
      </w:r>
      <w:r>
        <w:rPr>
          <w:sz w:val="20"/>
          <w:szCs w:val="20"/>
          <w:color w:val="auto"/>
        </w:rPr>
        <w:tab/>
      </w:r>
      <w:r>
        <w:rPr>
          <w:rFonts w:ascii="Arial" w:cs="Arial" w:eastAsia="Arial" w:hAnsi="Arial"/>
          <w:sz w:val="16"/>
          <w:szCs w:val="16"/>
          <w:u w:val="single" w:color="auto"/>
          <w:color w:val="auto"/>
        </w:rPr>
        <w:t>Name of Person Filing</w:t>
      </w:r>
    </w:p>
    <w:p>
      <w:pPr>
        <w:spacing w:after="0" w:line="225" w:lineRule="exact"/>
        <w:rPr>
          <w:sz w:val="20"/>
          <w:szCs w:val="20"/>
          <w:color w:val="auto"/>
        </w:rPr>
      </w:pPr>
    </w:p>
    <w:p>
      <w:pPr>
        <w:jc w:val="center"/>
        <w:ind w:right="5800"/>
        <w:spacing w:after="0"/>
        <w:rPr>
          <w:sz w:val="20"/>
          <w:szCs w:val="20"/>
          <w:color w:val="auto"/>
        </w:rPr>
      </w:pPr>
      <w:r>
        <w:rPr>
          <w:rFonts w:ascii="Arial" w:cs="Arial" w:eastAsia="Arial" w:hAnsi="Arial"/>
          <w:sz w:val="18"/>
          <w:szCs w:val="18"/>
          <w:color w:val="auto"/>
        </w:rPr>
        <w:t>Canada Pension Plan Investment Board</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2(b).</w:t>
      </w:r>
      <w:r>
        <w:rPr>
          <w:sz w:val="20"/>
          <w:szCs w:val="20"/>
          <w:color w:val="auto"/>
        </w:rPr>
        <w:tab/>
      </w:r>
      <w:r>
        <w:rPr>
          <w:rFonts w:ascii="Arial" w:cs="Arial" w:eastAsia="Arial" w:hAnsi="Arial"/>
          <w:sz w:val="16"/>
          <w:szCs w:val="16"/>
          <w:u w:val="single" w:color="auto"/>
          <w:color w:val="auto"/>
        </w:rPr>
        <w:t>Address of Principal Business Office or, if none, Residence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principal business address of the Reporting Person is as follows: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One Queen Street East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Suite 2500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Toronto, Ontario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M5C 2W5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Canada</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2(c).</w:t>
      </w:r>
      <w:r>
        <w:rPr>
          <w:sz w:val="20"/>
          <w:szCs w:val="20"/>
          <w:color w:val="auto"/>
        </w:rPr>
        <w:tab/>
      </w:r>
      <w:r>
        <w:rPr>
          <w:rFonts w:ascii="Arial" w:cs="Arial" w:eastAsia="Arial" w:hAnsi="Arial"/>
          <w:sz w:val="16"/>
          <w:szCs w:val="16"/>
          <w:u w:val="single" w:color="auto"/>
          <w:color w:val="auto"/>
        </w:rPr>
        <w:t>Citizenship</w:t>
      </w:r>
    </w:p>
    <w:p>
      <w:pPr>
        <w:spacing w:after="0" w:line="225" w:lineRule="exact"/>
        <w:rPr>
          <w:sz w:val="20"/>
          <w:szCs w:val="20"/>
          <w:color w:val="auto"/>
        </w:rPr>
      </w:pPr>
    </w:p>
    <w:p>
      <w:pPr>
        <w:jc w:val="center"/>
        <w:ind w:right="8100"/>
        <w:spacing w:after="0"/>
        <w:rPr>
          <w:sz w:val="20"/>
          <w:szCs w:val="20"/>
          <w:color w:val="auto"/>
        </w:rPr>
      </w:pPr>
      <w:r>
        <w:rPr>
          <w:rFonts w:ascii="Arial" w:cs="Arial" w:eastAsia="Arial" w:hAnsi="Arial"/>
          <w:sz w:val="18"/>
          <w:szCs w:val="18"/>
          <w:color w:val="auto"/>
        </w:rPr>
        <w:t>Canada</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2(d).</w:t>
      </w:r>
      <w:r>
        <w:rPr>
          <w:sz w:val="20"/>
          <w:szCs w:val="20"/>
          <w:color w:val="auto"/>
        </w:rPr>
        <w:tab/>
      </w:r>
      <w:r>
        <w:rPr>
          <w:rFonts w:ascii="Arial" w:cs="Arial" w:eastAsia="Arial" w:hAnsi="Arial"/>
          <w:sz w:val="16"/>
          <w:szCs w:val="16"/>
          <w:u w:val="single" w:color="auto"/>
          <w:color w:val="auto"/>
        </w:rPr>
        <w:t>Title of Class of Securities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Class A Ordinary Shares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2(e).</w:t>
      </w:r>
      <w:r>
        <w:rPr>
          <w:sz w:val="20"/>
          <w:szCs w:val="20"/>
          <w:color w:val="auto"/>
        </w:rPr>
        <w:tab/>
      </w:r>
      <w:r>
        <w:rPr>
          <w:rFonts w:ascii="Arial" w:cs="Arial" w:eastAsia="Arial" w:hAnsi="Arial"/>
          <w:sz w:val="16"/>
          <w:szCs w:val="16"/>
          <w:u w:val="single" w:color="auto"/>
          <w:color w:val="auto"/>
        </w:rPr>
        <w:t>CUSIP Number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H8088L103</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If this statement is filed pursuant to Rules 13d-1(b), or 13d-2(b) or (c), check whether the person filing is a</w:t>
      </w:r>
      <w:r>
        <w:rPr>
          <w:rFonts w:ascii="Arial" w:cs="Arial" w:eastAsia="Arial" w:hAnsi="Arial"/>
          <w:sz w:val="16"/>
          <w:szCs w:val="16"/>
          <w:color w:val="auto"/>
        </w:rPr>
        <w:t>:</w:t>
      </w:r>
    </w:p>
    <w:p>
      <w:pPr>
        <w:spacing w:after="0" w:line="225"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Exchange Act.</w:t>
      </w:r>
    </w:p>
    <w:p>
      <w:pPr>
        <w:spacing w:after="0" w:line="23" w:lineRule="exact"/>
        <w:rPr>
          <w:rFonts w:ascii="Arial" w:cs="Arial" w:eastAsia="Arial" w:hAnsi="Arial"/>
          <w:sz w:val="18"/>
          <w:szCs w:val="18"/>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Exchange Act.</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Exchange Act.</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Rule 13d-1(b)(1)(ii)(E).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Rule 13d-1(b)(1)(ii)(F).</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Rule 13d-1(b)(1)(ii)(G).</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church plan that is excluded from the definition of an investment company under Section 3(c)(14) of the Investment Company Act.</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Rule 13d-1(b)(1)(ii)(J).</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Rule 13d-1(b)(1)(ii)(K).</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filing as a non-U.S. institution in accordance with Rule 13d-1(b)(1)(ii)(J), please specify the type of institution: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5880" w:type="dxa"/>
            <w:vAlign w:val="bottom"/>
            <w:gridSpan w:val="3"/>
          </w:tcPr>
          <w:p>
            <w:pPr>
              <w:ind w:left="60"/>
              <w:spacing w:after="0"/>
              <w:rPr>
                <w:sz w:val="20"/>
                <w:szCs w:val="20"/>
                <w:color w:val="auto"/>
              </w:rPr>
            </w:pPr>
            <w:r>
              <w:rPr>
                <w:rFonts w:ascii="Arial" w:cs="Arial" w:eastAsia="Arial" w:hAnsi="Arial"/>
                <w:sz w:val="18"/>
                <w:szCs w:val="18"/>
                <w:color w:val="auto"/>
              </w:rPr>
              <w:t>CUSIP No. H8088L103</w:t>
            </w:r>
          </w:p>
        </w:tc>
        <w:tc>
          <w:tcPr>
            <w:tcW w:w="5360" w:type="dxa"/>
            <w:vAlign w:val="bottom"/>
          </w:tcPr>
          <w:p>
            <w:pPr>
              <w:ind w:left="4080"/>
              <w:spacing w:after="0"/>
              <w:rPr>
                <w:sz w:val="20"/>
                <w:szCs w:val="20"/>
                <w:color w:val="auto"/>
              </w:rPr>
            </w:pPr>
            <w:r>
              <w:rPr>
                <w:rFonts w:ascii="Arial" w:cs="Arial" w:eastAsia="Arial" w:hAnsi="Arial"/>
                <w:sz w:val="18"/>
                <w:szCs w:val="18"/>
                <w:color w:val="auto"/>
                <w:w w:val="85"/>
              </w:rPr>
              <w:t>Page 4 of 5 Pages</w:t>
            </w:r>
          </w:p>
        </w:tc>
      </w:tr>
      <w:tr>
        <w:trPr>
          <w:trHeight w:val="392"/>
        </w:trPr>
        <w:tc>
          <w:tcPr>
            <w:tcW w:w="5880" w:type="dxa"/>
            <w:vAlign w:val="bottom"/>
            <w:gridSpan w:val="3"/>
          </w:tcPr>
          <w:p>
            <w:pPr>
              <w:spacing w:after="0"/>
              <w:rPr>
                <w:sz w:val="20"/>
                <w:szCs w:val="20"/>
                <w:color w:val="auto"/>
              </w:rPr>
            </w:pPr>
            <w:r>
              <w:rPr>
                <w:rFonts w:ascii="Arial" w:cs="Arial" w:eastAsia="Arial" w:hAnsi="Arial"/>
                <w:sz w:val="18"/>
                <w:szCs w:val="18"/>
                <w:color w:val="auto"/>
              </w:rPr>
              <w:t>Item 4. Ownership</w:t>
            </w:r>
          </w:p>
        </w:tc>
        <w:tc>
          <w:tcPr>
            <w:tcW w:w="5360" w:type="dxa"/>
            <w:vAlign w:val="bottom"/>
          </w:tcPr>
          <w:p>
            <w:pPr>
              <w:spacing w:after="0"/>
              <w:rPr>
                <w:sz w:val="24"/>
                <w:szCs w:val="24"/>
                <w:color w:val="auto"/>
              </w:rPr>
            </w:pPr>
          </w:p>
        </w:tc>
      </w:tr>
      <w:tr>
        <w:trPr>
          <w:trHeight w:val="20"/>
        </w:trPr>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140" w:right="7960" w:hanging="336"/>
        <w:spacing w:after="0" w:line="530" w:lineRule="auto"/>
        <w:tabs>
          <w:tab w:leader="none" w:pos="11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Amount Beneficially Owned: See Item 9 on page 2.</w:t>
      </w:r>
    </w:p>
    <w:p>
      <w:pPr>
        <w:ind w:left="1140" w:hanging="33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See Item 11 on page 2.</w:t>
      </w:r>
    </w:p>
    <w:p>
      <w:pPr>
        <w:spacing w:after="0" w:line="225" w:lineRule="exact"/>
        <w:rPr>
          <w:rFonts w:ascii="Arial" w:cs="Arial" w:eastAsia="Arial" w:hAnsi="Arial"/>
          <w:sz w:val="18"/>
          <w:szCs w:val="18"/>
          <w:color w:val="auto"/>
        </w:rPr>
      </w:pPr>
    </w:p>
    <w:p>
      <w:pPr>
        <w:ind w:left="1140" w:hanging="33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580" w:right="6820" w:hanging="438"/>
        <w:spacing w:after="0" w:line="500" w:lineRule="auto"/>
        <w:tabs>
          <w:tab w:leader="none" w:pos="15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power to vote or to direct the vote: See Item 5 on page 2.</w:t>
      </w:r>
    </w:p>
    <w:p>
      <w:pPr>
        <w:spacing w:after="0" w:line="1" w:lineRule="exact"/>
        <w:rPr>
          <w:rFonts w:ascii="Arial" w:cs="Arial" w:eastAsia="Arial" w:hAnsi="Arial"/>
          <w:sz w:val="18"/>
          <w:szCs w:val="18"/>
          <w:color w:val="auto"/>
        </w:rPr>
      </w:pPr>
    </w:p>
    <w:p>
      <w:pPr>
        <w:ind w:left="1580" w:right="6640" w:hanging="438"/>
        <w:spacing w:after="0" w:line="500" w:lineRule="auto"/>
        <w:tabs>
          <w:tab w:leader="none" w:pos="15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power to vote or to direct the vote: See Item 6 on page 2.</w:t>
      </w:r>
    </w:p>
    <w:p>
      <w:pPr>
        <w:spacing w:after="0" w:line="1" w:lineRule="exact"/>
        <w:rPr>
          <w:rFonts w:ascii="Arial" w:cs="Arial" w:eastAsia="Arial" w:hAnsi="Arial"/>
          <w:sz w:val="18"/>
          <w:szCs w:val="18"/>
          <w:color w:val="auto"/>
        </w:rPr>
      </w:pPr>
    </w:p>
    <w:p>
      <w:pPr>
        <w:ind w:left="1580" w:right="5920" w:hanging="438"/>
        <w:spacing w:after="0" w:line="500" w:lineRule="auto"/>
        <w:tabs>
          <w:tab w:leader="none" w:pos="15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Item 7 on page 2.</w:t>
      </w:r>
    </w:p>
    <w:p>
      <w:pPr>
        <w:spacing w:after="0" w:line="1" w:lineRule="exact"/>
        <w:rPr>
          <w:rFonts w:ascii="Arial" w:cs="Arial" w:eastAsia="Arial" w:hAnsi="Arial"/>
          <w:sz w:val="18"/>
          <w:szCs w:val="18"/>
          <w:color w:val="auto"/>
        </w:rPr>
      </w:pPr>
    </w:p>
    <w:p>
      <w:pPr>
        <w:ind w:left="1580" w:hanging="438"/>
        <w:spacing w:after="0"/>
        <w:tabs>
          <w:tab w:leader="none" w:pos="15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See Item 8 on page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5. </w:t>
      </w:r>
      <w:r>
        <w:rPr>
          <w:rFonts w:ascii="Arial" w:cs="Arial" w:eastAsia="Arial" w:hAnsi="Arial"/>
          <w:sz w:val="18"/>
          <w:szCs w:val="18"/>
          <w:u w:val="single" w:color="auto"/>
          <w:color w:val="auto"/>
        </w:rPr>
        <w:t>Ownership of Five Percent or Less of a Class</w:t>
      </w:r>
    </w:p>
    <w:p>
      <w:pPr>
        <w:spacing w:after="0" w:line="225"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5 percent of the class of securities, check the following 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Ownership of More than Five Percent on Behalf of Another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660" w:right="1160" w:hanging="647"/>
        <w:spacing w:after="0" w:line="500" w:lineRule="auto"/>
        <w:rPr>
          <w:sz w:val="20"/>
          <w:szCs w:val="20"/>
          <w:color w:val="auto"/>
        </w:rPr>
      </w:pPr>
      <w:r>
        <w:rPr>
          <w:rFonts w:ascii="Arial" w:cs="Arial" w:eastAsia="Arial" w:hAnsi="Arial"/>
          <w:sz w:val="18"/>
          <w:szCs w:val="18"/>
          <w:color w:val="auto"/>
        </w:rPr>
        <w:t xml:space="preserve">Item 7. </w:t>
      </w:r>
      <w:r>
        <w:rPr>
          <w:rFonts w:ascii="Arial" w:cs="Arial" w:eastAsia="Arial" w:hAnsi="Arial"/>
          <w:sz w:val="18"/>
          <w:szCs w:val="18"/>
          <w:u w:val="single" w:color="auto"/>
          <w:color w:val="auto"/>
        </w:rPr>
        <w:t>Identification and Classification of the Subsidiary Which Acquired the Security Being Reported on by the Parent Holding Company</w:t>
      </w:r>
      <w:r>
        <w:rPr>
          <w:rFonts w:ascii="Arial" w:cs="Arial" w:eastAsia="Arial" w:hAnsi="Arial"/>
          <w:sz w:val="18"/>
          <w:szCs w:val="18"/>
          <w:color w:val="auto"/>
        </w:rPr>
        <w:t xml:space="preserve"> Not applicable.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8. </w:t>
      </w:r>
      <w:r>
        <w:rPr>
          <w:rFonts w:ascii="Arial" w:cs="Arial" w:eastAsia="Arial" w:hAnsi="Arial"/>
          <w:sz w:val="18"/>
          <w:szCs w:val="18"/>
          <w:u w:val="single" w:color="auto"/>
          <w:color w:val="auto"/>
        </w:rPr>
        <w:t>Identification and Classification of Members of the Group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9. </w:t>
      </w:r>
      <w:r>
        <w:rPr>
          <w:rFonts w:ascii="Arial" w:cs="Arial" w:eastAsia="Arial" w:hAnsi="Arial"/>
          <w:sz w:val="18"/>
          <w:szCs w:val="18"/>
          <w:u w:val="single" w:color="auto"/>
          <w:color w:val="auto"/>
        </w:rPr>
        <w:t>Notice of Dissolution of Group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10. </w:t>
      </w:r>
      <w:r>
        <w:rPr>
          <w:rFonts w:ascii="Arial" w:cs="Arial" w:eastAsia="Arial" w:hAnsi="Arial"/>
          <w:sz w:val="18"/>
          <w:szCs w:val="18"/>
          <w:u w:val="single" w:color="auto"/>
          <w:color w:val="auto"/>
        </w:rPr>
        <w:t>Certifications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ind w:left="60"/>
        <w:spacing w:after="0"/>
        <w:tabs>
          <w:tab w:leader="none" w:pos="9940" w:val="left"/>
        </w:tabs>
        <w:rPr>
          <w:sz w:val="20"/>
          <w:szCs w:val="20"/>
          <w:color w:val="auto"/>
        </w:rPr>
      </w:pPr>
      <w:r>
        <w:rPr>
          <w:rFonts w:ascii="Arial" w:cs="Arial" w:eastAsia="Arial" w:hAnsi="Arial"/>
          <w:sz w:val="18"/>
          <w:szCs w:val="18"/>
          <w:color w:val="auto"/>
        </w:rPr>
        <w:t>CUSIP No. H8088L103</w:t>
      </w:r>
      <w:r>
        <w:rPr>
          <w:sz w:val="20"/>
          <w:szCs w:val="20"/>
          <w:color w:val="auto"/>
        </w:rPr>
        <w:tab/>
      </w:r>
      <w:r>
        <w:rPr>
          <w:rFonts w:ascii="Arial" w:cs="Arial" w:eastAsia="Arial" w:hAnsi="Arial"/>
          <w:sz w:val="15"/>
          <w:szCs w:val="15"/>
          <w:color w:val="auto"/>
        </w:rPr>
        <w:t>Page 5 of 5 Pages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2022</w:t>
      </w:r>
    </w:p>
    <w:p>
      <w:pPr>
        <w:spacing w:after="0" w:line="200" w:lineRule="exact"/>
        <w:rPr>
          <w:sz w:val="20"/>
          <w:szCs w:val="20"/>
          <w:color w:val="auto"/>
        </w:rPr>
      </w:pPr>
    </w:p>
    <w:p>
      <w:pPr>
        <w:spacing w:after="0" w:line="23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CANADA PENSION PLAN INVESTMENT BOARD</w:t>
      </w:r>
    </w:p>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Patrice Walch-Watson</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Patrice Walch-Watson</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Title: Senior Managing Director,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decimal"/>
      <w:start w:val="10"/>
    </w:lvl>
  </w:abstractNum>
  <w:abstractNum w:abstractNumId="7">
    <w:nsid w:val="12200854"/>
    <w:multiLevelType w:val="hybridMultilevel"/>
    <w:lvl w:ilvl="0">
      <w:lvlJc w:val="left"/>
      <w:lvlText w:val="%1"/>
      <w:numFmt w:val="decimal"/>
      <w:start w:val="1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2022-02-14T16:51:17Z</dcterms:created>
  <dcterms:modified xsi:type="dcterms:W3CDTF">2022-02-14T16:51:17Z</dcterms:modified>
</cp:coreProperties>
</file>